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33C2E" w14:textId="407FC49F" w:rsidR="00741C9C" w:rsidRPr="00F7384E" w:rsidRDefault="00990C56" w:rsidP="000A4609">
      <w:pPr>
        <w:tabs>
          <w:tab w:val="left" w:pos="8080"/>
        </w:tabs>
        <w:spacing w:before="172"/>
        <w:ind w:firstLine="69"/>
        <w:rPr>
          <w:b/>
          <w:sz w:val="18"/>
        </w:rPr>
      </w:pPr>
      <w:r>
        <w:pict w14:anchorId="0EE33C92">
          <v:shape id="_x0000_s1033" style="position:absolute;left:0;text-align:left;margin-left:63pt;margin-top:22.35pt;width:461.75pt;height:.1pt;z-index:-15728640;mso-wrap-distance-left:0;mso-wrap-distance-right:0;mso-position-horizontal-relative:page" coordorigin="1260,447" coordsize="9235,0" path="m1260,447r9235,e" filled="f" strokeweight="1.44pt">
            <v:path arrowok="t"/>
            <w10:wrap type="topAndBottom" anchorx="page"/>
          </v:shape>
        </w:pict>
      </w:r>
      <w:r w:rsidR="0025034E" w:rsidRPr="00F7384E">
        <w:rPr>
          <w:b/>
          <w:sz w:val="18"/>
        </w:rPr>
        <w:t xml:space="preserve">  </w:t>
      </w:r>
      <w:r w:rsidR="00571B2A" w:rsidRPr="00F7384E">
        <w:rPr>
          <w:b/>
          <w:sz w:val="18"/>
        </w:rPr>
        <w:t>COLLYER</w:t>
      </w:r>
      <w:r w:rsidR="00571B2A" w:rsidRPr="00F7384E">
        <w:rPr>
          <w:b/>
          <w:spacing w:val="-5"/>
          <w:sz w:val="18"/>
        </w:rPr>
        <w:t xml:space="preserve"> </w:t>
      </w:r>
      <w:r w:rsidR="00571B2A" w:rsidRPr="00F7384E">
        <w:rPr>
          <w:b/>
          <w:sz w:val="18"/>
        </w:rPr>
        <w:t>INSIGHTS</w:t>
      </w:r>
      <w:r w:rsidR="00571B2A" w:rsidRPr="00F7384E">
        <w:rPr>
          <w:b/>
          <w:sz w:val="18"/>
        </w:rPr>
        <w:tab/>
      </w:r>
      <w:r w:rsidR="008B5895" w:rsidRPr="00F7384E">
        <w:rPr>
          <w:b/>
          <w:sz w:val="18"/>
        </w:rPr>
        <w:t xml:space="preserve">       </w:t>
      </w:r>
      <w:r w:rsidR="007F3431">
        <w:rPr>
          <w:b/>
          <w:sz w:val="18"/>
        </w:rPr>
        <w:t>November</w:t>
      </w:r>
      <w:r w:rsidR="00571B2A" w:rsidRPr="00F7384E">
        <w:rPr>
          <w:b/>
          <w:spacing w:val="-3"/>
          <w:sz w:val="18"/>
        </w:rPr>
        <w:t xml:space="preserve"> </w:t>
      </w:r>
      <w:r w:rsidR="00571B2A" w:rsidRPr="00F7384E">
        <w:rPr>
          <w:b/>
          <w:sz w:val="18"/>
        </w:rPr>
        <w:t>202</w:t>
      </w:r>
      <w:r>
        <w:rPr>
          <w:b/>
          <w:sz w:val="18"/>
        </w:rPr>
        <w:t>1</w:t>
      </w:r>
    </w:p>
    <w:p w14:paraId="0EE33C2F" w14:textId="77777777" w:rsidR="00741C9C" w:rsidRPr="00F7384E" w:rsidRDefault="00741C9C" w:rsidP="000A4609">
      <w:pPr>
        <w:pStyle w:val="BodyText"/>
        <w:spacing w:before="2"/>
        <w:rPr>
          <w:b/>
          <w:sz w:val="28"/>
        </w:rPr>
      </w:pPr>
    </w:p>
    <w:p w14:paraId="0EE33C30" w14:textId="5BC6DF9A" w:rsidR="00741C9C" w:rsidRPr="00F7384E" w:rsidRDefault="003B61B7" w:rsidP="000A4609">
      <w:pPr>
        <w:pStyle w:val="Title"/>
      </w:pPr>
      <w:r w:rsidRPr="00F7384E">
        <w:rPr>
          <w:color w:val="E36C0A"/>
        </w:rPr>
        <w:t xml:space="preserve">BOARD DIRECTORS AND </w:t>
      </w:r>
      <w:r w:rsidR="007709E7" w:rsidRPr="00F7384E">
        <w:rPr>
          <w:color w:val="E36C0A"/>
        </w:rPr>
        <w:t xml:space="preserve">BOARD </w:t>
      </w:r>
      <w:r w:rsidRPr="00F7384E">
        <w:rPr>
          <w:color w:val="E36C0A"/>
        </w:rPr>
        <w:t xml:space="preserve">OBSERVERS </w:t>
      </w:r>
    </w:p>
    <w:p w14:paraId="0EE33C31" w14:textId="77777777" w:rsidR="00741C9C" w:rsidRPr="00F7384E" w:rsidRDefault="00741C9C" w:rsidP="000A4609">
      <w:pPr>
        <w:pStyle w:val="BodyText"/>
        <w:rPr>
          <w:b/>
          <w:sz w:val="20"/>
        </w:rPr>
      </w:pPr>
    </w:p>
    <w:p w14:paraId="3CA1C8B1" w14:textId="208F8A86" w:rsidR="000E63F9" w:rsidRPr="005D0166" w:rsidRDefault="00990C56" w:rsidP="000A4609">
      <w:pPr>
        <w:pStyle w:val="BodyText"/>
        <w:spacing w:before="10"/>
        <w:rPr>
          <w:b/>
          <w:sz w:val="14"/>
        </w:rPr>
      </w:pPr>
      <w:r>
        <w:pict w14:anchorId="0EE33C93">
          <v:shape id="_x0000_s1032" style="position:absolute;margin-left:63pt;margin-top:11.75pt;width:461.75pt;height:.1pt;z-index:-15728128;mso-wrap-distance-left:0;mso-wrap-distance-right:0;mso-position-horizontal-relative:page" coordorigin="1260,235" coordsize="9235,0" path="m1260,235r9235,e" filled="f" strokeweight="1.44pt">
            <v:path arrowok="t"/>
            <w10:wrap type="topAndBottom" anchorx="page"/>
          </v:shape>
        </w:pict>
      </w:r>
    </w:p>
    <w:p w14:paraId="4EFEBAFD" w14:textId="41EECF47" w:rsidR="00D67DC6" w:rsidRDefault="00881844" w:rsidP="000A4609">
      <w:pPr>
        <w:pStyle w:val="BodyText"/>
        <w:spacing w:before="242"/>
        <w:ind w:left="179" w:right="108"/>
        <w:jc w:val="both"/>
      </w:pPr>
      <w:r>
        <w:t>Board</w:t>
      </w:r>
      <w:r w:rsidR="00D67DC6">
        <w:t xml:space="preserve"> observer</w:t>
      </w:r>
      <w:r>
        <w:t>s</w:t>
      </w:r>
      <w:r w:rsidR="00D67DC6">
        <w:t xml:space="preserve"> are individuals </w:t>
      </w:r>
      <w:r w:rsidR="00BC3162">
        <w:t xml:space="preserve">(who may have </w:t>
      </w:r>
      <w:r w:rsidR="00D67DC6">
        <w:t xml:space="preserve">relevant </w:t>
      </w:r>
      <w:r w:rsidR="00BC3162">
        <w:t xml:space="preserve">business </w:t>
      </w:r>
      <w:r w:rsidR="00D67DC6">
        <w:t>experience or expertise</w:t>
      </w:r>
      <w:r w:rsidR="00BC3162">
        <w:t>)</w:t>
      </w:r>
      <w:r w:rsidR="00D67DC6">
        <w:t xml:space="preserve"> </w:t>
      </w:r>
      <w:r w:rsidR="00BC3162">
        <w:t>that</w:t>
      </w:r>
      <w:r w:rsidR="00F862CE">
        <w:t xml:space="preserve"> have</w:t>
      </w:r>
      <w:r>
        <w:t xml:space="preserve"> a right to attend board meetings </w:t>
      </w:r>
      <w:r w:rsidR="00F862CE">
        <w:t xml:space="preserve">and provide input to </w:t>
      </w:r>
      <w:r w:rsidR="00BC3162">
        <w:t xml:space="preserve">board directors and management, </w:t>
      </w:r>
      <w:r w:rsidR="00AB12F3">
        <w:t xml:space="preserve">without </w:t>
      </w:r>
      <w:proofErr w:type="gramStart"/>
      <w:r w:rsidR="00AB12F3">
        <w:t>actually being</w:t>
      </w:r>
      <w:proofErr w:type="gramEnd"/>
      <w:r w:rsidR="00AB12F3">
        <w:t xml:space="preserve"> a board member. </w:t>
      </w:r>
      <w:r w:rsidR="00C12DA1">
        <w:t>Board observer arrangements are typically negotiated by investors</w:t>
      </w:r>
      <w:r w:rsidR="00DE6714">
        <w:t xml:space="preserve"> as a condition of their investment</w:t>
      </w:r>
      <w:r w:rsidR="00115910">
        <w:t xml:space="preserve"> and </w:t>
      </w:r>
      <w:r w:rsidR="00567BF0">
        <w:t xml:space="preserve">locked in through a contractual agreement with the company. </w:t>
      </w:r>
    </w:p>
    <w:p w14:paraId="68478C69" w14:textId="291D033C" w:rsidR="00E2375C" w:rsidRPr="00F7384E" w:rsidRDefault="00797894" w:rsidP="000A4609">
      <w:pPr>
        <w:pStyle w:val="BodyText"/>
        <w:spacing w:before="242"/>
        <w:ind w:left="179" w:right="108"/>
        <w:jc w:val="both"/>
      </w:pPr>
      <w:r>
        <w:t>The main concern shareholders may have when board observer arrangements are negotiated</w:t>
      </w:r>
      <w:r w:rsidR="00973446">
        <w:t>,</w:t>
      </w:r>
      <w:r>
        <w:t xml:space="preserve"> is the loss of control of the company. </w:t>
      </w:r>
      <w:r w:rsidR="00587E27">
        <w:t>B</w:t>
      </w:r>
      <w:r w:rsidR="00121D05" w:rsidRPr="00F7384E">
        <w:t xml:space="preserve">oard observer </w:t>
      </w:r>
      <w:r w:rsidR="003D010C" w:rsidRPr="00F7384E">
        <w:t xml:space="preserve">arrangements are </w:t>
      </w:r>
      <w:r w:rsidR="00926192" w:rsidRPr="00F7384E">
        <w:t>increasingly common</w:t>
      </w:r>
      <w:r w:rsidR="00182061" w:rsidRPr="00F7384E">
        <w:t xml:space="preserve"> as part of companies</w:t>
      </w:r>
      <w:r w:rsidR="00316D46" w:rsidRPr="00F7384E">
        <w:t>’</w:t>
      </w:r>
      <w:r w:rsidR="00182061" w:rsidRPr="00F7384E">
        <w:t xml:space="preserve"> corporate governance framework</w:t>
      </w:r>
      <w:r w:rsidR="000C0909">
        <w:t>.</w:t>
      </w:r>
      <w:r w:rsidR="001C5CD9" w:rsidRPr="00F7384E">
        <w:t xml:space="preserve"> </w:t>
      </w:r>
      <w:r w:rsidR="000C0909">
        <w:t>I</w:t>
      </w:r>
      <w:r w:rsidR="0072760A" w:rsidRPr="00F7384E">
        <w:t>t is imperative to distinguish the role of board observers from the function of board directors</w:t>
      </w:r>
      <w:r w:rsidR="004D5A44" w:rsidRPr="00F7384E">
        <w:t xml:space="preserve"> to provide companies and investors sufficient guidance in structuring board observer arrangements</w:t>
      </w:r>
      <w:r w:rsidR="00C56B12">
        <w:t xml:space="preserve"> and to</w:t>
      </w:r>
      <w:r w:rsidR="004D07A9">
        <w:t xml:space="preserve"> </w:t>
      </w:r>
      <w:r w:rsidR="002778FE">
        <w:t xml:space="preserve">shed some light on the </w:t>
      </w:r>
      <w:r w:rsidR="00C3629A">
        <w:t>benefits and challenges</w:t>
      </w:r>
      <w:r w:rsidR="0025145A">
        <w:t xml:space="preserve"> </w:t>
      </w:r>
      <w:r w:rsidR="00631114">
        <w:t xml:space="preserve">of </w:t>
      </w:r>
      <w:r w:rsidR="00CE36BD" w:rsidRPr="00F7384E">
        <w:t xml:space="preserve">structuring </w:t>
      </w:r>
      <w:r w:rsidR="00CE36BD">
        <w:t xml:space="preserve">such </w:t>
      </w:r>
      <w:r w:rsidR="00CE36BD" w:rsidRPr="00F7384E">
        <w:t>board observer arrangements</w:t>
      </w:r>
      <w:r w:rsidR="00CE36BD">
        <w:t xml:space="preserve">. </w:t>
      </w:r>
    </w:p>
    <w:p w14:paraId="09AA8F51" w14:textId="32330D4A" w:rsidR="006358FD" w:rsidRPr="00F7384E" w:rsidRDefault="003C74AE" w:rsidP="000A4609">
      <w:pPr>
        <w:pStyle w:val="Heading1"/>
        <w:jc w:val="both"/>
      </w:pPr>
      <w:r w:rsidRPr="00F7384E">
        <w:rPr>
          <w:color w:val="4F81BD"/>
        </w:rPr>
        <w:t xml:space="preserve">BOARD DIRECTOR </w:t>
      </w:r>
    </w:p>
    <w:p w14:paraId="7DBC71EF" w14:textId="7DAEB13F" w:rsidR="006C41D3" w:rsidRPr="00F7384E" w:rsidRDefault="006C41D3" w:rsidP="000A4609">
      <w:pPr>
        <w:pStyle w:val="BodyText"/>
        <w:ind w:right="107"/>
        <w:jc w:val="both"/>
      </w:pPr>
    </w:p>
    <w:p w14:paraId="0EE33C72" w14:textId="7D940D99" w:rsidR="00741C9C" w:rsidRPr="00F7384E" w:rsidRDefault="009B3357" w:rsidP="000A4609">
      <w:pPr>
        <w:pStyle w:val="BodyText"/>
        <w:ind w:left="179" w:right="107"/>
        <w:jc w:val="both"/>
      </w:pPr>
      <w:r w:rsidRPr="00F7384E">
        <w:t xml:space="preserve">The board of directors is vested with the power to manage the company’s business and is given the authority to exercise all powers of the company other than those reserved to the shareholders as specified in the Companies Act (Cap. 50) or the constitution. </w:t>
      </w:r>
      <w:r w:rsidR="007115A0" w:rsidRPr="00F7384E">
        <w:t>Board directors have a right to vote in all board meetings</w:t>
      </w:r>
      <w:r w:rsidR="00011DC7" w:rsidRPr="00F7384E">
        <w:t xml:space="preserve"> </w:t>
      </w:r>
      <w:r w:rsidR="00A32C9F" w:rsidRPr="00F7384E">
        <w:t>and matters submitted for a vote</w:t>
      </w:r>
      <w:r w:rsidR="00533C98" w:rsidRPr="00F7384E">
        <w:t xml:space="preserve"> and may directly </w:t>
      </w:r>
      <w:r w:rsidR="00B92A9F" w:rsidRPr="00F7384E">
        <w:t>influence the management and direction of the company.</w:t>
      </w:r>
      <w:r w:rsidR="00EC3D1C" w:rsidRPr="00F7384E">
        <w:t xml:space="preserve"> </w:t>
      </w:r>
      <w:r w:rsidR="0099738A" w:rsidRPr="00F7384E">
        <w:t xml:space="preserve">Board </w:t>
      </w:r>
      <w:r w:rsidR="00087930" w:rsidRPr="00F7384E">
        <w:t xml:space="preserve">directors owe fiduciary duties of care and loyalty to the company, and if shareholders are dissatisfied </w:t>
      </w:r>
      <w:r w:rsidRPr="00F7384E">
        <w:t>w</w:t>
      </w:r>
      <w:r w:rsidR="00087930" w:rsidRPr="00F7384E">
        <w:t xml:space="preserve">ith the board director, they may remove the board director through a vote. </w:t>
      </w:r>
      <w:r w:rsidR="00031E9F">
        <w:t>However, b</w:t>
      </w:r>
      <w:r w:rsidR="00CD112A" w:rsidRPr="00F7384E">
        <w:t>oard director</w:t>
      </w:r>
      <w:r w:rsidR="006D474A" w:rsidRPr="00F7384E">
        <w:t xml:space="preserve">s </w:t>
      </w:r>
      <w:r w:rsidR="002A53DE">
        <w:t xml:space="preserve">do </w:t>
      </w:r>
      <w:r w:rsidR="006D474A" w:rsidRPr="00F7384E">
        <w:t>assume</w:t>
      </w:r>
      <w:r w:rsidR="00D7408B" w:rsidRPr="00F7384E">
        <w:t xml:space="preserve"> significant </w:t>
      </w:r>
      <w:r w:rsidR="009C024D" w:rsidRPr="00F7384E">
        <w:t xml:space="preserve">burden </w:t>
      </w:r>
      <w:r w:rsidR="004E0CDD" w:rsidRPr="00F7384E">
        <w:t xml:space="preserve">and </w:t>
      </w:r>
      <w:r w:rsidR="00CD112A" w:rsidRPr="00F7384E">
        <w:t>owe fiduciary duties to the company</w:t>
      </w:r>
      <w:r w:rsidR="00DC6F51" w:rsidRPr="00F7384E">
        <w:t xml:space="preserve">, including a duty of care and loyalty, whereby </w:t>
      </w:r>
      <w:r w:rsidR="00CD112A" w:rsidRPr="00F7384E">
        <w:t xml:space="preserve">a </w:t>
      </w:r>
      <w:r w:rsidR="0099738A" w:rsidRPr="00F7384E">
        <w:t>breach</w:t>
      </w:r>
      <w:r w:rsidR="00AA6AC1" w:rsidRPr="00F7384E">
        <w:t xml:space="preserve"> of fiduciary duties could result in civil or criminal liabilities. </w:t>
      </w:r>
    </w:p>
    <w:p w14:paraId="49E09593" w14:textId="1B35E00E" w:rsidR="00FD7C72" w:rsidRPr="00FD7C72" w:rsidRDefault="003C74AE" w:rsidP="000A4609">
      <w:pPr>
        <w:pStyle w:val="Heading1"/>
        <w:jc w:val="both"/>
      </w:pPr>
      <w:r w:rsidRPr="00F7384E">
        <w:rPr>
          <w:color w:val="4F81BD"/>
        </w:rPr>
        <w:t>BOARD OBSERVER</w:t>
      </w:r>
    </w:p>
    <w:p w14:paraId="6682B5F4" w14:textId="77777777" w:rsidR="00FD7C72" w:rsidRDefault="00FD7C72" w:rsidP="000A4609">
      <w:pPr>
        <w:pStyle w:val="BodyText"/>
        <w:ind w:left="179" w:right="107"/>
        <w:jc w:val="both"/>
      </w:pPr>
    </w:p>
    <w:p w14:paraId="35EF6033" w14:textId="7CE13387" w:rsidR="00753BCA" w:rsidRPr="00F7384E" w:rsidRDefault="007B01E8" w:rsidP="000A4609">
      <w:pPr>
        <w:pStyle w:val="BodyText"/>
        <w:ind w:left="179" w:right="107"/>
        <w:jc w:val="both"/>
      </w:pPr>
      <w:r w:rsidRPr="00F7384E">
        <w:t>The general position is that board observers do</w:t>
      </w:r>
      <w:r w:rsidR="00B9793A" w:rsidRPr="00F7384E">
        <w:t xml:space="preserve"> not </w:t>
      </w:r>
      <w:r w:rsidRPr="00F7384E">
        <w:t>owe fiduciary duties</w:t>
      </w:r>
      <w:r w:rsidR="0051177E" w:rsidRPr="00F7384E">
        <w:t xml:space="preserve"> and obligations</w:t>
      </w:r>
      <w:r w:rsidRPr="00F7384E">
        <w:t xml:space="preserve"> to the company. As such</w:t>
      </w:r>
      <w:r w:rsidR="001A36CC" w:rsidRPr="00F7384E">
        <w:t>, some investors would prefer to hold board observer seats to avoid fiduciary duties and conflict of interests. Board observers</w:t>
      </w:r>
      <w:r w:rsidR="00E514B5" w:rsidRPr="00F7384E">
        <w:t xml:space="preserve"> </w:t>
      </w:r>
      <w:r w:rsidR="001A36CC" w:rsidRPr="00F7384E">
        <w:t>are</w:t>
      </w:r>
      <w:r w:rsidR="00E514B5" w:rsidRPr="00F7384E">
        <w:t xml:space="preserve"> permitted to attend and observe in board meetings and to receive </w:t>
      </w:r>
      <w:r w:rsidR="00EB3F59" w:rsidRPr="00F7384E">
        <w:t xml:space="preserve">timely </w:t>
      </w:r>
      <w:r w:rsidR="00E514B5" w:rsidRPr="00F7384E">
        <w:t>information provided to the board</w:t>
      </w:r>
      <w:r w:rsidR="00E471EF" w:rsidRPr="00F7384E">
        <w:t xml:space="preserve"> to keep </w:t>
      </w:r>
      <w:r w:rsidR="007C4121" w:rsidRPr="00F7384E">
        <w:t>informed</w:t>
      </w:r>
      <w:r w:rsidR="00773AFD" w:rsidRPr="00F7384E">
        <w:t xml:space="preserve"> </w:t>
      </w:r>
      <w:r w:rsidR="00140342" w:rsidRPr="00F7384E">
        <w:t>of issues that could affect the investment in the company</w:t>
      </w:r>
      <w:r w:rsidR="00085546" w:rsidRPr="00F7384E">
        <w:t xml:space="preserve">. While board observers are </w:t>
      </w:r>
      <w:r w:rsidR="00E514B5" w:rsidRPr="00F7384E">
        <w:t>not permitted to vote on matters submitted for a vote</w:t>
      </w:r>
      <w:r w:rsidR="00085546" w:rsidRPr="00F7384E">
        <w:t xml:space="preserve">, </w:t>
      </w:r>
      <w:r w:rsidR="006A1F68" w:rsidRPr="00F7384E">
        <w:t>b</w:t>
      </w:r>
      <w:r w:rsidR="00E514B5" w:rsidRPr="00F7384E">
        <w:t xml:space="preserve">oard observers may share their opinions on matters submitted to the board and may significantly influence the outcome of matters submitted for the board’s approval. </w:t>
      </w:r>
      <w:r w:rsidR="00C92442" w:rsidRPr="00F7384E">
        <w:t xml:space="preserve">Investors may request that the board observed be reimbursed </w:t>
      </w:r>
      <w:proofErr w:type="gramStart"/>
      <w:r w:rsidR="00C92442" w:rsidRPr="00F7384E">
        <w:t>similar to</w:t>
      </w:r>
      <w:proofErr w:type="gramEnd"/>
      <w:r w:rsidR="00C92442" w:rsidRPr="00F7384E">
        <w:t xml:space="preserve"> a board director. </w:t>
      </w:r>
    </w:p>
    <w:p w14:paraId="03FD97A9" w14:textId="0484ABF0" w:rsidR="00753BCA" w:rsidRPr="00F7384E" w:rsidRDefault="0046407E" w:rsidP="000A4609">
      <w:pPr>
        <w:pStyle w:val="BodyText"/>
        <w:ind w:right="107"/>
        <w:jc w:val="both"/>
      </w:pPr>
      <w:r w:rsidRPr="00F7384E">
        <w:t xml:space="preserve">  </w:t>
      </w:r>
    </w:p>
    <w:p w14:paraId="21577838" w14:textId="191D7AB1" w:rsidR="00F04CA8" w:rsidRPr="00F7384E" w:rsidRDefault="00AC35BB" w:rsidP="000A4609">
      <w:pPr>
        <w:pStyle w:val="BodyText"/>
        <w:ind w:left="179" w:right="107"/>
        <w:jc w:val="both"/>
      </w:pPr>
      <w:r w:rsidRPr="00F7384E">
        <w:t xml:space="preserve">Board observers are expressly prohibited from voting on </w:t>
      </w:r>
      <w:r w:rsidR="00B5536E" w:rsidRPr="00F7384E">
        <w:t>matters submitted for a vote.</w:t>
      </w:r>
      <w:r w:rsidR="009407B4" w:rsidRPr="00F7384E">
        <w:t xml:space="preserve"> Board observers may be ex</w:t>
      </w:r>
      <w:r w:rsidR="00807FFB" w:rsidRPr="00F7384E">
        <w:t xml:space="preserve">cluded from meetings if </w:t>
      </w:r>
      <w:r w:rsidR="009407B4" w:rsidRPr="00F7384E">
        <w:t xml:space="preserve">it is the best interest of the company to do so, to preserve proprietary or privileged information or if there is a potential conflict of interest. </w:t>
      </w:r>
      <w:r w:rsidR="00B5536E" w:rsidRPr="00F7384E">
        <w:t xml:space="preserve"> </w:t>
      </w:r>
      <w:r w:rsidR="00D13DD6" w:rsidRPr="00F7384E">
        <w:t xml:space="preserve">Board observer rights are provided pursuant to a contractual agreement and their loyalty lies with the investor rather than the shareholders. This </w:t>
      </w:r>
      <w:r w:rsidR="00CF74ED" w:rsidRPr="00F7384E">
        <w:t xml:space="preserve">also </w:t>
      </w:r>
      <w:r w:rsidR="00D13DD6" w:rsidRPr="00F7384E">
        <w:t>means that sh</w:t>
      </w:r>
      <w:r w:rsidR="00CF74ED" w:rsidRPr="00F7384E">
        <w:t>areholders</w:t>
      </w:r>
      <w:r w:rsidR="00807FFB" w:rsidRPr="00F7384E">
        <w:t xml:space="preserve"> do not have the powers to </w:t>
      </w:r>
      <w:r w:rsidR="00CF74ED" w:rsidRPr="00F7384E">
        <w:t xml:space="preserve">remove board observers. </w:t>
      </w:r>
      <w:r w:rsidR="00EC08C5" w:rsidRPr="00F7384E">
        <w:t xml:space="preserve">If the </w:t>
      </w:r>
      <w:r w:rsidR="00294A4C" w:rsidRPr="00F7384E">
        <w:t xml:space="preserve">board observer </w:t>
      </w:r>
      <w:r w:rsidR="00EC08C5" w:rsidRPr="00F7384E">
        <w:t>agreement does not include confidentiality obligation or provisions relating to conflicts of interest, board observer</w:t>
      </w:r>
      <w:r w:rsidR="0081644E" w:rsidRPr="00F7384E">
        <w:t xml:space="preserve">s may not be </w:t>
      </w:r>
      <w:r w:rsidR="00BC6037" w:rsidRPr="00F7384E">
        <w:t>bound by such an</w:t>
      </w:r>
      <w:r w:rsidR="0081644E" w:rsidRPr="00F7384E">
        <w:t xml:space="preserve"> obligation that is ordinarily imposed on board directors. </w:t>
      </w:r>
    </w:p>
    <w:p w14:paraId="1714C72A" w14:textId="77777777" w:rsidR="000A4609" w:rsidRDefault="000A4609" w:rsidP="000A4609">
      <w:pPr>
        <w:pStyle w:val="Heading1"/>
        <w:ind w:left="0" w:firstLine="179"/>
        <w:jc w:val="both"/>
        <w:rPr>
          <w:color w:val="4F81BD"/>
        </w:rPr>
      </w:pPr>
    </w:p>
    <w:p w14:paraId="3493A53A" w14:textId="77777777" w:rsidR="000A4609" w:rsidRDefault="000A4609" w:rsidP="000A4609">
      <w:pPr>
        <w:pStyle w:val="Heading1"/>
        <w:ind w:left="0" w:firstLine="179"/>
        <w:jc w:val="both"/>
        <w:rPr>
          <w:color w:val="4F81BD"/>
        </w:rPr>
      </w:pPr>
    </w:p>
    <w:p w14:paraId="041A9AEA" w14:textId="77777777" w:rsidR="000A4609" w:rsidRDefault="000A4609" w:rsidP="000A4609">
      <w:pPr>
        <w:pStyle w:val="Heading1"/>
        <w:ind w:left="0" w:firstLine="179"/>
        <w:jc w:val="both"/>
        <w:rPr>
          <w:color w:val="4F81BD"/>
        </w:rPr>
      </w:pPr>
    </w:p>
    <w:p w14:paraId="5BF3E668" w14:textId="1F366057" w:rsidR="007E7CCD" w:rsidRPr="00F7384E" w:rsidRDefault="00BE4ADC" w:rsidP="000A4609">
      <w:pPr>
        <w:pStyle w:val="Heading1"/>
        <w:ind w:left="0" w:firstLine="179"/>
        <w:jc w:val="both"/>
      </w:pPr>
      <w:r>
        <w:rPr>
          <w:color w:val="4F81BD"/>
        </w:rPr>
        <w:t xml:space="preserve">LESSONS FROM KEY JURISDICTIONS </w:t>
      </w:r>
    </w:p>
    <w:p w14:paraId="36DB1BE4" w14:textId="5CBD6712" w:rsidR="007E7CCD" w:rsidRPr="00F7384E" w:rsidRDefault="003C71EB" w:rsidP="000A4609">
      <w:pPr>
        <w:pStyle w:val="Heading1"/>
        <w:jc w:val="both"/>
        <w:rPr>
          <w:color w:val="4F81BD"/>
        </w:rPr>
      </w:pPr>
      <w:r>
        <w:rPr>
          <w:b w:val="0"/>
          <w:bCs w:val="0"/>
        </w:rPr>
        <w:t>Basic principles of corporate law should provide sufficient guidance in structuring</w:t>
      </w:r>
      <w:r w:rsidRPr="00F7384E">
        <w:rPr>
          <w:b w:val="0"/>
          <w:bCs w:val="0"/>
        </w:rPr>
        <w:t xml:space="preserve"> </w:t>
      </w:r>
      <w:r>
        <w:rPr>
          <w:b w:val="0"/>
          <w:bCs w:val="0"/>
        </w:rPr>
        <w:t>board observer arrangements.</w:t>
      </w:r>
      <w:r w:rsidRPr="00F7384E">
        <w:rPr>
          <w:b w:val="0"/>
          <w:bCs w:val="0"/>
        </w:rPr>
        <w:t xml:space="preserve">  </w:t>
      </w:r>
      <w:r w:rsidR="008A5CA4">
        <w:rPr>
          <w:b w:val="0"/>
          <w:bCs w:val="0"/>
        </w:rPr>
        <w:t>While there</w:t>
      </w:r>
      <w:r w:rsidR="00401F0F" w:rsidRPr="00F7384E">
        <w:rPr>
          <w:b w:val="0"/>
          <w:bCs w:val="0"/>
        </w:rPr>
        <w:t xml:space="preserve"> is </w:t>
      </w:r>
      <w:r w:rsidR="003824BF">
        <w:rPr>
          <w:b w:val="0"/>
          <w:bCs w:val="0"/>
        </w:rPr>
        <w:t xml:space="preserve">little </w:t>
      </w:r>
      <w:r w:rsidR="005615F1" w:rsidRPr="00F7384E">
        <w:rPr>
          <w:b w:val="0"/>
          <w:bCs w:val="0"/>
        </w:rPr>
        <w:t>case law</w:t>
      </w:r>
      <w:r w:rsidR="003824BF">
        <w:rPr>
          <w:b w:val="0"/>
          <w:bCs w:val="0"/>
        </w:rPr>
        <w:t xml:space="preserve"> or legal authority</w:t>
      </w:r>
      <w:r w:rsidR="005615F1" w:rsidRPr="00F7384E">
        <w:rPr>
          <w:b w:val="0"/>
          <w:bCs w:val="0"/>
        </w:rPr>
        <w:t xml:space="preserve"> in Singapore </w:t>
      </w:r>
      <w:r w:rsidR="008A5CA4">
        <w:rPr>
          <w:b w:val="0"/>
          <w:bCs w:val="0"/>
        </w:rPr>
        <w:t>addressing the distinction between board observers and board directors</w:t>
      </w:r>
      <w:r w:rsidR="00401F0F" w:rsidRPr="00F7384E">
        <w:rPr>
          <w:b w:val="0"/>
          <w:bCs w:val="0"/>
        </w:rPr>
        <w:t xml:space="preserve">, </w:t>
      </w:r>
      <w:r w:rsidR="004720ED" w:rsidRPr="00F7384E">
        <w:rPr>
          <w:b w:val="0"/>
          <w:bCs w:val="0"/>
        </w:rPr>
        <w:t xml:space="preserve">we </w:t>
      </w:r>
      <w:r w:rsidR="00194B96" w:rsidRPr="00F7384E">
        <w:rPr>
          <w:b w:val="0"/>
          <w:bCs w:val="0"/>
        </w:rPr>
        <w:t>turn</w:t>
      </w:r>
      <w:r w:rsidR="00B541F0" w:rsidRPr="00F7384E">
        <w:rPr>
          <w:b w:val="0"/>
          <w:bCs w:val="0"/>
        </w:rPr>
        <w:t xml:space="preserve"> to</w:t>
      </w:r>
      <w:r w:rsidR="00743480" w:rsidRPr="00F7384E">
        <w:rPr>
          <w:b w:val="0"/>
          <w:bCs w:val="0"/>
        </w:rPr>
        <w:t xml:space="preserve"> </w:t>
      </w:r>
      <w:r w:rsidR="00D6315F" w:rsidRPr="00F7384E">
        <w:rPr>
          <w:b w:val="0"/>
          <w:bCs w:val="0"/>
        </w:rPr>
        <w:t xml:space="preserve">judicial guidance in </w:t>
      </w:r>
      <w:r w:rsidR="00743480" w:rsidRPr="00F7384E">
        <w:rPr>
          <w:b w:val="0"/>
          <w:bCs w:val="0"/>
        </w:rPr>
        <w:t>ke</w:t>
      </w:r>
      <w:r w:rsidR="00B541F0" w:rsidRPr="00F7384E">
        <w:rPr>
          <w:b w:val="0"/>
          <w:bCs w:val="0"/>
        </w:rPr>
        <w:t xml:space="preserve">y </w:t>
      </w:r>
      <w:r w:rsidR="000C2562" w:rsidRPr="00F7384E">
        <w:rPr>
          <w:b w:val="0"/>
          <w:bCs w:val="0"/>
        </w:rPr>
        <w:t>jurisdiction</w:t>
      </w:r>
      <w:r w:rsidR="007E63F7" w:rsidRPr="00F7384E">
        <w:rPr>
          <w:b w:val="0"/>
          <w:bCs w:val="0"/>
        </w:rPr>
        <w:t>s</w:t>
      </w:r>
      <w:r w:rsidR="000C2562" w:rsidRPr="00F7384E">
        <w:rPr>
          <w:b w:val="0"/>
          <w:bCs w:val="0"/>
        </w:rPr>
        <w:t xml:space="preserve"> </w:t>
      </w:r>
      <w:r w:rsidR="00B31B21" w:rsidRPr="00F7384E">
        <w:rPr>
          <w:b w:val="0"/>
          <w:bCs w:val="0"/>
        </w:rPr>
        <w:t xml:space="preserve">(i.e. </w:t>
      </w:r>
      <w:r w:rsidR="00BF40CC" w:rsidRPr="00F7384E">
        <w:rPr>
          <w:b w:val="0"/>
          <w:bCs w:val="0"/>
        </w:rPr>
        <w:t xml:space="preserve">the United States of America and the United Kingdom) to </w:t>
      </w:r>
      <w:r w:rsidR="005D1922" w:rsidRPr="00F7384E">
        <w:rPr>
          <w:b w:val="0"/>
          <w:bCs w:val="0"/>
        </w:rPr>
        <w:t>understand</w:t>
      </w:r>
      <w:r w:rsidR="005615F1" w:rsidRPr="00F7384E">
        <w:rPr>
          <w:b w:val="0"/>
          <w:bCs w:val="0"/>
        </w:rPr>
        <w:t xml:space="preserve"> </w:t>
      </w:r>
      <w:r w:rsidR="008A3644" w:rsidRPr="00F7384E">
        <w:rPr>
          <w:b w:val="0"/>
          <w:bCs w:val="0"/>
        </w:rPr>
        <w:t>the distinctions</w:t>
      </w:r>
      <w:r w:rsidR="009A025B" w:rsidRPr="00F7384E">
        <w:rPr>
          <w:b w:val="0"/>
          <w:bCs w:val="0"/>
        </w:rPr>
        <w:t xml:space="preserve"> as applied by the different courts.</w:t>
      </w:r>
      <w:r w:rsidR="003227BC">
        <w:rPr>
          <w:b w:val="0"/>
          <w:bCs w:val="0"/>
        </w:rPr>
        <w:t xml:space="preserve"> </w:t>
      </w:r>
    </w:p>
    <w:p w14:paraId="522C6332" w14:textId="6AF5BFD8" w:rsidR="00744107" w:rsidRPr="00F7384E" w:rsidRDefault="00DC10A6" w:rsidP="000A4609">
      <w:pPr>
        <w:pStyle w:val="Heading1"/>
        <w:jc w:val="both"/>
        <w:rPr>
          <w:color w:val="4F81BD"/>
        </w:rPr>
      </w:pPr>
      <w:r w:rsidRPr="00F7384E">
        <w:rPr>
          <w:color w:val="4F81BD"/>
        </w:rPr>
        <w:t>Obasi Investment Ltd. v Tibet Pharmaceuticals, Inc</w:t>
      </w:r>
      <w:r w:rsidR="007C40F6" w:rsidRPr="00F7384E">
        <w:rPr>
          <w:color w:val="4F81BD"/>
        </w:rPr>
        <w:t xml:space="preserve">. </w:t>
      </w:r>
      <w:r w:rsidR="00DE0CF4" w:rsidRPr="00F7384E">
        <w:rPr>
          <w:color w:val="4F81BD"/>
        </w:rPr>
        <w:t xml:space="preserve">No. 18-1849 (3d Cir. 2019) </w:t>
      </w:r>
      <w:r w:rsidR="00863433" w:rsidRPr="00F7384E">
        <w:rPr>
          <w:color w:val="4F81BD"/>
        </w:rPr>
        <w:t>(“Third Circuit Decision”)</w:t>
      </w:r>
    </w:p>
    <w:p w14:paraId="63D629BA" w14:textId="7674B50D" w:rsidR="007C40F6" w:rsidRPr="00F7384E" w:rsidRDefault="00DE0CF4" w:rsidP="000A4609">
      <w:pPr>
        <w:pStyle w:val="Heading1"/>
        <w:jc w:val="both"/>
        <w:rPr>
          <w:b w:val="0"/>
          <w:bCs w:val="0"/>
        </w:rPr>
      </w:pPr>
      <w:r w:rsidRPr="00F7384E">
        <w:rPr>
          <w:b w:val="0"/>
          <w:bCs w:val="0"/>
        </w:rPr>
        <w:t xml:space="preserve">In </w:t>
      </w:r>
      <w:r w:rsidR="001200B1" w:rsidRPr="00F7384E">
        <w:rPr>
          <w:b w:val="0"/>
          <w:bCs w:val="0"/>
        </w:rPr>
        <w:t>the recent</w:t>
      </w:r>
      <w:r w:rsidRPr="00F7384E">
        <w:rPr>
          <w:b w:val="0"/>
          <w:bCs w:val="0"/>
        </w:rPr>
        <w:t xml:space="preserve"> Third Circuit </w:t>
      </w:r>
      <w:r w:rsidR="00863433" w:rsidRPr="00F7384E">
        <w:rPr>
          <w:b w:val="0"/>
          <w:bCs w:val="0"/>
        </w:rPr>
        <w:t>D</w:t>
      </w:r>
      <w:r w:rsidR="00C71F1B" w:rsidRPr="00F7384E">
        <w:rPr>
          <w:b w:val="0"/>
          <w:bCs w:val="0"/>
        </w:rPr>
        <w:t>eci</w:t>
      </w:r>
      <w:r w:rsidR="004B4F3A" w:rsidRPr="00F7384E">
        <w:rPr>
          <w:b w:val="0"/>
          <w:bCs w:val="0"/>
        </w:rPr>
        <w:t>sion</w:t>
      </w:r>
      <w:r w:rsidR="001200B1" w:rsidRPr="00F7384E">
        <w:rPr>
          <w:b w:val="0"/>
          <w:bCs w:val="0"/>
        </w:rPr>
        <w:t xml:space="preserve">, the US </w:t>
      </w:r>
      <w:r w:rsidR="000F6AFF" w:rsidRPr="00F7384E">
        <w:rPr>
          <w:b w:val="0"/>
          <w:bCs w:val="0"/>
        </w:rPr>
        <w:t>Court of Appeal</w:t>
      </w:r>
      <w:r w:rsidR="00824782" w:rsidRPr="00F7384E">
        <w:rPr>
          <w:b w:val="0"/>
          <w:bCs w:val="0"/>
        </w:rPr>
        <w:t xml:space="preserve"> </w:t>
      </w:r>
      <w:r w:rsidR="00782FF5" w:rsidRPr="00F7384E">
        <w:rPr>
          <w:b w:val="0"/>
          <w:bCs w:val="0"/>
        </w:rPr>
        <w:t>determined</w:t>
      </w:r>
      <w:r w:rsidR="00F407D0" w:rsidRPr="00F7384E">
        <w:rPr>
          <w:b w:val="0"/>
          <w:bCs w:val="0"/>
        </w:rPr>
        <w:t xml:space="preserve"> that the function</w:t>
      </w:r>
      <w:r w:rsidR="00355670">
        <w:rPr>
          <w:b w:val="0"/>
          <w:bCs w:val="0"/>
        </w:rPr>
        <w:t>s</w:t>
      </w:r>
      <w:r w:rsidR="00F407D0" w:rsidRPr="00F7384E">
        <w:rPr>
          <w:b w:val="0"/>
          <w:bCs w:val="0"/>
        </w:rPr>
        <w:t xml:space="preserve"> of the non-voting board observers were</w:t>
      </w:r>
      <w:r w:rsidR="00D46880" w:rsidRPr="00F7384E">
        <w:rPr>
          <w:b w:val="0"/>
          <w:bCs w:val="0"/>
        </w:rPr>
        <w:t>, as a matter of law,</w:t>
      </w:r>
      <w:r w:rsidR="00F407D0" w:rsidRPr="00F7384E">
        <w:rPr>
          <w:b w:val="0"/>
          <w:bCs w:val="0"/>
        </w:rPr>
        <w:t xml:space="preserve"> different fr</w:t>
      </w:r>
      <w:r w:rsidR="006E076D" w:rsidRPr="00F7384E">
        <w:rPr>
          <w:b w:val="0"/>
          <w:bCs w:val="0"/>
        </w:rPr>
        <w:t>om the</w:t>
      </w:r>
      <w:r w:rsidR="00F407D0" w:rsidRPr="00F7384E">
        <w:rPr>
          <w:b w:val="0"/>
          <w:bCs w:val="0"/>
        </w:rPr>
        <w:t xml:space="preserve"> </w:t>
      </w:r>
      <w:r w:rsidR="00E2136B" w:rsidRPr="00F7384E">
        <w:rPr>
          <w:b w:val="0"/>
          <w:bCs w:val="0"/>
        </w:rPr>
        <w:t>core powers and responsibilities</w:t>
      </w:r>
      <w:r w:rsidR="00F407D0" w:rsidRPr="00F7384E">
        <w:rPr>
          <w:b w:val="0"/>
          <w:bCs w:val="0"/>
        </w:rPr>
        <w:t xml:space="preserve"> of the</w:t>
      </w:r>
      <w:r w:rsidR="004B52A8" w:rsidRPr="00F7384E">
        <w:rPr>
          <w:b w:val="0"/>
          <w:bCs w:val="0"/>
        </w:rPr>
        <w:t xml:space="preserve"> function of</w:t>
      </w:r>
      <w:r w:rsidR="00F407D0" w:rsidRPr="00F7384E">
        <w:rPr>
          <w:b w:val="0"/>
          <w:bCs w:val="0"/>
        </w:rPr>
        <w:t xml:space="preserve"> board directors for purposes of imposing liability under Section 11 of the Securities Act 1933</w:t>
      </w:r>
      <w:r w:rsidR="001201A4" w:rsidRPr="00F7384E">
        <w:rPr>
          <w:b w:val="0"/>
          <w:bCs w:val="0"/>
        </w:rPr>
        <w:t xml:space="preserve"> (“</w:t>
      </w:r>
      <w:r w:rsidR="001201A4" w:rsidRPr="00F7384E">
        <w:t>Section 11</w:t>
      </w:r>
      <w:r w:rsidR="006104AB" w:rsidRPr="00F7384E">
        <w:t xml:space="preserve"> SA</w:t>
      </w:r>
      <w:r w:rsidR="001201A4" w:rsidRPr="00F7384E">
        <w:rPr>
          <w:b w:val="0"/>
          <w:bCs w:val="0"/>
        </w:rPr>
        <w:t xml:space="preserve">”). Section 11 </w:t>
      </w:r>
      <w:r w:rsidR="006104AB" w:rsidRPr="00F7384E">
        <w:rPr>
          <w:b w:val="0"/>
          <w:bCs w:val="0"/>
        </w:rPr>
        <w:t>SA</w:t>
      </w:r>
      <w:r w:rsidR="006E59EE" w:rsidRPr="00F7384E">
        <w:rPr>
          <w:b w:val="0"/>
          <w:bCs w:val="0"/>
        </w:rPr>
        <w:t xml:space="preserve"> </w:t>
      </w:r>
      <w:r w:rsidR="006104AB" w:rsidRPr="00F7384E">
        <w:rPr>
          <w:b w:val="0"/>
          <w:bCs w:val="0"/>
        </w:rPr>
        <w:t xml:space="preserve">imposes liability on persons </w:t>
      </w:r>
      <w:r w:rsidR="00243578" w:rsidRPr="00F7384E">
        <w:rPr>
          <w:b w:val="0"/>
          <w:bCs w:val="0"/>
        </w:rPr>
        <w:t>“</w:t>
      </w:r>
      <w:r w:rsidR="00243578" w:rsidRPr="007B6681">
        <w:rPr>
          <w:b w:val="0"/>
          <w:bCs w:val="0"/>
          <w:i/>
          <w:iCs/>
        </w:rPr>
        <w:t>named in the registration statement as being or about to become a director, [or] person performing similar functions</w:t>
      </w:r>
      <w:r w:rsidR="00243578" w:rsidRPr="00F7384E">
        <w:rPr>
          <w:b w:val="0"/>
          <w:bCs w:val="0"/>
        </w:rPr>
        <w:t>”</w:t>
      </w:r>
      <w:r w:rsidR="009E1E8F" w:rsidRPr="00F7384E">
        <w:rPr>
          <w:b w:val="0"/>
          <w:bCs w:val="0"/>
        </w:rPr>
        <w:t xml:space="preserve">. </w:t>
      </w:r>
      <w:r w:rsidR="00595FDA" w:rsidRPr="00F7384E">
        <w:rPr>
          <w:b w:val="0"/>
          <w:bCs w:val="0"/>
        </w:rPr>
        <w:t xml:space="preserve">The Third Circuit placed little importance on the </w:t>
      </w:r>
      <w:r w:rsidR="00855624" w:rsidRPr="00F7384E">
        <w:rPr>
          <w:b w:val="0"/>
          <w:bCs w:val="0"/>
        </w:rPr>
        <w:t xml:space="preserve">board </w:t>
      </w:r>
      <w:r w:rsidR="00595FDA" w:rsidRPr="00F7384E">
        <w:rPr>
          <w:b w:val="0"/>
          <w:bCs w:val="0"/>
        </w:rPr>
        <w:t>observer</w:t>
      </w:r>
      <w:r w:rsidR="00CC1716" w:rsidRPr="00F7384E">
        <w:rPr>
          <w:b w:val="0"/>
          <w:bCs w:val="0"/>
        </w:rPr>
        <w:t>s’ ability to “</w:t>
      </w:r>
      <w:r w:rsidR="00CC1716" w:rsidRPr="007B6681">
        <w:rPr>
          <w:b w:val="0"/>
          <w:bCs w:val="0"/>
          <w:i/>
          <w:iCs/>
        </w:rPr>
        <w:t>significantly</w:t>
      </w:r>
      <w:r w:rsidR="00595FDA" w:rsidRPr="007B6681">
        <w:rPr>
          <w:b w:val="0"/>
          <w:bCs w:val="0"/>
          <w:i/>
          <w:iCs/>
        </w:rPr>
        <w:t xml:space="preserve"> influence </w:t>
      </w:r>
      <w:r w:rsidR="00CC1716" w:rsidRPr="007B6681">
        <w:rPr>
          <w:b w:val="0"/>
          <w:bCs w:val="0"/>
          <w:i/>
          <w:iCs/>
        </w:rPr>
        <w:t>the outcome of matters submitted for t</w:t>
      </w:r>
      <w:r w:rsidR="00906BDC" w:rsidRPr="007B6681">
        <w:rPr>
          <w:b w:val="0"/>
          <w:bCs w:val="0"/>
          <w:i/>
          <w:iCs/>
        </w:rPr>
        <w:t>o the Board of Directors for approval</w:t>
      </w:r>
      <w:r w:rsidR="00906BDC" w:rsidRPr="00F7384E">
        <w:rPr>
          <w:b w:val="0"/>
          <w:bCs w:val="0"/>
        </w:rPr>
        <w:t>”</w:t>
      </w:r>
      <w:r w:rsidR="007418CF" w:rsidRPr="00F7384E">
        <w:rPr>
          <w:b w:val="0"/>
          <w:bCs w:val="0"/>
        </w:rPr>
        <w:t>, i</w:t>
      </w:r>
      <w:r w:rsidR="00FC4D0C" w:rsidRPr="00F7384E">
        <w:rPr>
          <w:b w:val="0"/>
          <w:bCs w:val="0"/>
        </w:rPr>
        <w:t xml:space="preserve">nstead, </w:t>
      </w:r>
      <w:r w:rsidR="003B09D7" w:rsidRPr="00F7384E">
        <w:rPr>
          <w:b w:val="0"/>
          <w:bCs w:val="0"/>
        </w:rPr>
        <w:t>emphasis</w:t>
      </w:r>
      <w:r w:rsidR="00FC4D0C" w:rsidRPr="00F7384E">
        <w:rPr>
          <w:b w:val="0"/>
          <w:bCs w:val="0"/>
        </w:rPr>
        <w:t xml:space="preserve"> was pla</w:t>
      </w:r>
      <w:r w:rsidR="003B638E" w:rsidRPr="00F7384E">
        <w:rPr>
          <w:b w:val="0"/>
          <w:bCs w:val="0"/>
        </w:rPr>
        <w:t xml:space="preserve">ced on three features </w:t>
      </w:r>
      <w:r w:rsidR="007418CF" w:rsidRPr="00F7384E">
        <w:rPr>
          <w:b w:val="0"/>
          <w:bCs w:val="0"/>
        </w:rPr>
        <w:t xml:space="preserve">establishing that the board observers liable under Section 11 SA: (1) The </w:t>
      </w:r>
      <w:r w:rsidR="00D325AA" w:rsidRPr="00F7384E">
        <w:rPr>
          <w:b w:val="0"/>
          <w:bCs w:val="0"/>
        </w:rPr>
        <w:t xml:space="preserve">board observers did not have the right to vote; (2) The absence of a </w:t>
      </w:r>
      <w:r w:rsidR="00E27C0C" w:rsidRPr="00F7384E">
        <w:rPr>
          <w:b w:val="0"/>
          <w:bCs w:val="0"/>
        </w:rPr>
        <w:t xml:space="preserve">duty of loyalty to the company’s shareholders; and (3) The board observers’ tenure were not subject to shareholders’ vote. </w:t>
      </w:r>
      <w:r w:rsidR="007418CF" w:rsidRPr="00F7384E">
        <w:rPr>
          <w:b w:val="0"/>
          <w:bCs w:val="0"/>
        </w:rPr>
        <w:t xml:space="preserve"> </w:t>
      </w:r>
    </w:p>
    <w:p w14:paraId="53777484" w14:textId="59C2BDBF" w:rsidR="007C40F6" w:rsidRPr="00F7384E" w:rsidRDefault="00094A44" w:rsidP="000A4609">
      <w:pPr>
        <w:pStyle w:val="Heading1"/>
        <w:jc w:val="both"/>
      </w:pPr>
      <w:r w:rsidRPr="00F7384E">
        <w:rPr>
          <w:color w:val="4F81BD"/>
        </w:rPr>
        <w:t xml:space="preserve">Standish v The Royal Bank of Scotland plc &amp; others [2019] EWHC 3116 </w:t>
      </w:r>
      <w:r w:rsidR="00863433" w:rsidRPr="00F7384E">
        <w:rPr>
          <w:color w:val="4F81BD"/>
        </w:rPr>
        <w:t>(</w:t>
      </w:r>
      <w:r w:rsidR="00A573CD" w:rsidRPr="00F7384E">
        <w:rPr>
          <w:color w:val="4F81BD"/>
        </w:rPr>
        <w:t>“Standish</w:t>
      </w:r>
      <w:r w:rsidR="00863433" w:rsidRPr="00F7384E">
        <w:rPr>
          <w:color w:val="4F81BD"/>
        </w:rPr>
        <w:t>”)</w:t>
      </w:r>
    </w:p>
    <w:p w14:paraId="67B99F60" w14:textId="57240F5F" w:rsidR="00CF74ED" w:rsidRPr="00F7384E" w:rsidRDefault="00CF74ED" w:rsidP="000A4609">
      <w:pPr>
        <w:pStyle w:val="BodyText"/>
        <w:ind w:left="179" w:right="107"/>
        <w:jc w:val="both"/>
      </w:pPr>
    </w:p>
    <w:p w14:paraId="3EF45E88" w14:textId="2730B6E8" w:rsidR="0039677E" w:rsidRPr="00F7384E" w:rsidRDefault="00132E81" w:rsidP="000A4609">
      <w:pPr>
        <w:pStyle w:val="BodyText"/>
        <w:ind w:left="179" w:right="107"/>
        <w:jc w:val="both"/>
      </w:pPr>
      <w:r w:rsidRPr="00F7384E">
        <w:t xml:space="preserve">The </w:t>
      </w:r>
      <w:r w:rsidR="00A573CD" w:rsidRPr="00F7384E">
        <w:t xml:space="preserve">Standish case </w:t>
      </w:r>
      <w:r w:rsidR="00AA5F39" w:rsidRPr="00F7384E">
        <w:t>confirmed</w:t>
      </w:r>
      <w:r w:rsidR="00E2023B" w:rsidRPr="00F7384E">
        <w:t xml:space="preserve"> that</w:t>
      </w:r>
      <w:r w:rsidR="00E3727F" w:rsidRPr="00F7384E">
        <w:t xml:space="preserve"> where board observer</w:t>
      </w:r>
      <w:r w:rsidR="005523BF" w:rsidRPr="00F7384E">
        <w:t>s</w:t>
      </w:r>
      <w:r w:rsidR="00E3727F" w:rsidRPr="00F7384E">
        <w:t xml:space="preserve"> </w:t>
      </w:r>
      <w:r w:rsidR="005523BF" w:rsidRPr="00F7384E">
        <w:t>“</w:t>
      </w:r>
      <w:r w:rsidR="00A43A79" w:rsidRPr="007B6681">
        <w:rPr>
          <w:i/>
          <w:iCs/>
        </w:rPr>
        <w:t>gave instructions to the directors that the directors felt obliged to follow</w:t>
      </w:r>
      <w:r w:rsidR="00A43A79" w:rsidRPr="00F7384E">
        <w:t>"</w:t>
      </w:r>
      <w:r w:rsidR="005523BF" w:rsidRPr="00F7384E">
        <w:t xml:space="preserve"> in relation to business decisions, </w:t>
      </w:r>
      <w:r w:rsidR="005F7B58" w:rsidRPr="00F7384E">
        <w:t xml:space="preserve">and the directors act in accordance with those instructions, the board observers </w:t>
      </w:r>
      <w:r w:rsidR="00F00422" w:rsidRPr="00F7384E">
        <w:t>may</w:t>
      </w:r>
      <w:r w:rsidR="00626E07" w:rsidRPr="00F7384E">
        <w:t xml:space="preserve"> be </w:t>
      </w:r>
      <w:r w:rsidR="00F00422" w:rsidRPr="00F7384E">
        <w:t>regarded as</w:t>
      </w:r>
      <w:r w:rsidR="00E2023B" w:rsidRPr="00F7384E">
        <w:t xml:space="preserve"> shadow directo</w:t>
      </w:r>
      <w:r w:rsidR="00F442B7" w:rsidRPr="00F7384E">
        <w:t>rs</w:t>
      </w:r>
      <w:r w:rsidR="00B5607B" w:rsidRPr="00F7384E">
        <w:t xml:space="preserve"> in relation </w:t>
      </w:r>
      <w:r w:rsidR="000628CE" w:rsidRPr="00F7384E">
        <w:t>“</w:t>
      </w:r>
      <w:r w:rsidR="00B5607B" w:rsidRPr="007B6681">
        <w:rPr>
          <w:i/>
          <w:iCs/>
        </w:rPr>
        <w:t xml:space="preserve">to those </w:t>
      </w:r>
      <w:r w:rsidR="000628CE" w:rsidRPr="007B6681">
        <w:rPr>
          <w:i/>
          <w:iCs/>
        </w:rPr>
        <w:t>matters</w:t>
      </w:r>
      <w:r w:rsidR="00A47A41" w:rsidRPr="007B6681">
        <w:rPr>
          <w:i/>
          <w:iCs/>
        </w:rPr>
        <w:t xml:space="preserve"> where he gives instructions</w:t>
      </w:r>
      <w:r w:rsidR="00A47A41" w:rsidRPr="00F7384E">
        <w:t>”</w:t>
      </w:r>
      <w:r w:rsidR="00F00422" w:rsidRPr="00F7384E">
        <w:t xml:space="preserve">, thereby incurring duties and obligations. </w:t>
      </w:r>
      <w:r w:rsidR="001954B6" w:rsidRPr="00F7384E">
        <w:t xml:space="preserve">The court established that duties owed by shadow directors are limited in extent </w:t>
      </w:r>
      <w:r w:rsidR="00034487" w:rsidRPr="00F7384E">
        <w:t xml:space="preserve">to </w:t>
      </w:r>
      <w:r w:rsidR="00A47A41" w:rsidRPr="00F7384E">
        <w:t>the subject matter of their instructions.</w:t>
      </w:r>
      <w:r w:rsidR="000628CE" w:rsidRPr="00F7384E">
        <w:t xml:space="preserve"> </w:t>
      </w:r>
      <w:r w:rsidR="00002D43" w:rsidRPr="00F7384E">
        <w:t xml:space="preserve">The court provided further support </w:t>
      </w:r>
      <w:r w:rsidR="00D262D4" w:rsidRPr="00F7384E">
        <w:t xml:space="preserve">for this view </w:t>
      </w:r>
      <w:r w:rsidR="008A7CF9" w:rsidRPr="00F7384E">
        <w:t xml:space="preserve">that when </w:t>
      </w:r>
      <w:r w:rsidR="00690D24" w:rsidRPr="00F7384E">
        <w:t>shadow directorship</w:t>
      </w:r>
      <w:r w:rsidR="005A1AD0" w:rsidRPr="00F7384E">
        <w:t xml:space="preserve"> (and nothing else)</w:t>
      </w:r>
      <w:r w:rsidR="00690D24" w:rsidRPr="00F7384E">
        <w:t xml:space="preserve"> “</w:t>
      </w:r>
      <w:r w:rsidR="00690D24" w:rsidRPr="007B6681">
        <w:rPr>
          <w:i/>
          <w:iCs/>
        </w:rPr>
        <w:t>is relied on as the source</w:t>
      </w:r>
      <w:r w:rsidR="005A1AD0" w:rsidRPr="007B6681">
        <w:rPr>
          <w:i/>
          <w:iCs/>
        </w:rPr>
        <w:t xml:space="preserve"> of the fiduciary duty,</w:t>
      </w:r>
      <w:r w:rsidR="00690D24" w:rsidRPr="007B6681">
        <w:rPr>
          <w:i/>
          <w:iCs/>
        </w:rPr>
        <w:t xml:space="preserve"> it is only the acts of instruction which can form the foundation for any fiduciary duties that he may owe</w:t>
      </w:r>
      <w:r w:rsidR="00690D24" w:rsidRPr="00F7384E">
        <w:t>”.</w:t>
      </w:r>
      <w:r w:rsidR="000B4849" w:rsidRPr="00F7384E">
        <w:t xml:space="preserve"> </w:t>
      </w:r>
      <w:r w:rsidR="003B6A04" w:rsidRPr="00F7384E">
        <w:t xml:space="preserve">Without this relationship, it is apparent that a shadow director will not be liable for breach of duty. </w:t>
      </w:r>
    </w:p>
    <w:p w14:paraId="12E5AFAF" w14:textId="10919868" w:rsidR="00465531" w:rsidRPr="00F7384E" w:rsidRDefault="00465531" w:rsidP="000A4609">
      <w:pPr>
        <w:pStyle w:val="BodyText"/>
        <w:ind w:left="179" w:right="107"/>
        <w:jc w:val="both"/>
      </w:pPr>
    </w:p>
    <w:p w14:paraId="3FF17628" w14:textId="65807EA4" w:rsidR="00FC071A" w:rsidRPr="00DF70C9" w:rsidRDefault="00DF70C9" w:rsidP="000A4609">
      <w:pPr>
        <w:pStyle w:val="BodyText"/>
        <w:ind w:left="179" w:right="107"/>
        <w:jc w:val="both"/>
        <w:rPr>
          <w:b/>
          <w:bCs/>
          <w:color w:val="4F81BD"/>
        </w:rPr>
      </w:pPr>
      <w:r w:rsidRPr="00DF70C9">
        <w:rPr>
          <w:b/>
          <w:bCs/>
          <w:color w:val="4F81BD"/>
        </w:rPr>
        <w:t xml:space="preserve">Contractual Protections </w:t>
      </w:r>
    </w:p>
    <w:p w14:paraId="0D875237" w14:textId="53EEA47B" w:rsidR="00DF70C9" w:rsidRDefault="00DF70C9" w:rsidP="000A4609">
      <w:pPr>
        <w:pStyle w:val="BodyText"/>
        <w:ind w:left="179" w:right="107"/>
        <w:jc w:val="both"/>
        <w:rPr>
          <w:color w:val="4F81BD"/>
        </w:rPr>
      </w:pPr>
    </w:p>
    <w:p w14:paraId="0528D256" w14:textId="72D9392E" w:rsidR="00C343F4" w:rsidRDefault="00806F8D" w:rsidP="007D5623">
      <w:pPr>
        <w:pStyle w:val="BodyText"/>
        <w:ind w:left="179" w:right="107"/>
        <w:jc w:val="both"/>
      </w:pPr>
      <w:r>
        <w:t>While there is no legal requirement to have a contractual agreement between</w:t>
      </w:r>
      <w:r w:rsidR="005F34AC">
        <w:t xml:space="preserve"> the board observer and the company, clearly drafted agreements can preempt </w:t>
      </w:r>
      <w:r w:rsidR="007D5623">
        <w:t xml:space="preserve">uncertainty in relation to the board observer’s role, limit their </w:t>
      </w:r>
      <w:r w:rsidR="009A4C83">
        <w:t xml:space="preserve">exposure to liability,  </w:t>
      </w:r>
      <w:r w:rsidR="00203AF9">
        <w:t xml:space="preserve">and protect the company’s best interests. </w:t>
      </w:r>
      <w:r w:rsidR="00AD2004">
        <w:t xml:space="preserve">In any case, if board observer arrangements are introduced to the company’s corporate governance, there are a few considerations that should be </w:t>
      </w:r>
      <w:proofErr w:type="gramStart"/>
      <w:r w:rsidR="00AD2004">
        <w:t>taken into account</w:t>
      </w:r>
      <w:proofErr w:type="gramEnd"/>
      <w:r w:rsidR="00AD2004">
        <w:t>, as follow</w:t>
      </w:r>
      <w:r w:rsidR="00D121DA">
        <w:t>s</w:t>
      </w:r>
      <w:r w:rsidR="00AD2004">
        <w:t>:</w:t>
      </w:r>
    </w:p>
    <w:p w14:paraId="6F8F4D8D" w14:textId="77777777" w:rsidR="00203AF9" w:rsidRDefault="00203AF9" w:rsidP="00AD2004">
      <w:pPr>
        <w:pStyle w:val="BodyText"/>
        <w:ind w:right="107"/>
        <w:jc w:val="both"/>
      </w:pPr>
    </w:p>
    <w:p w14:paraId="282C115E" w14:textId="740B30C7" w:rsidR="00203AF9" w:rsidRDefault="00D1289C" w:rsidP="00203AF9">
      <w:pPr>
        <w:pStyle w:val="BodyText"/>
        <w:numPr>
          <w:ilvl w:val="0"/>
          <w:numId w:val="6"/>
        </w:numPr>
        <w:ind w:right="107"/>
        <w:jc w:val="both"/>
      </w:pPr>
      <w:r>
        <w:t xml:space="preserve">scope of </w:t>
      </w:r>
      <w:r w:rsidR="0042155B">
        <w:t>b</w:t>
      </w:r>
      <w:r w:rsidR="0098380E">
        <w:t xml:space="preserve">oard observer duties and obligations; </w:t>
      </w:r>
    </w:p>
    <w:p w14:paraId="22118CAB" w14:textId="791876C8" w:rsidR="0098380E" w:rsidRDefault="0042155B" w:rsidP="00203AF9">
      <w:pPr>
        <w:pStyle w:val="BodyText"/>
        <w:numPr>
          <w:ilvl w:val="0"/>
          <w:numId w:val="6"/>
        </w:numPr>
        <w:ind w:right="107"/>
        <w:jc w:val="both"/>
      </w:pPr>
      <w:r>
        <w:t>t</w:t>
      </w:r>
      <w:r w:rsidR="0098380E">
        <w:t xml:space="preserve">erm of service; </w:t>
      </w:r>
    </w:p>
    <w:p w14:paraId="3A91BC7C" w14:textId="00A7BC9D" w:rsidR="00D1289C" w:rsidRDefault="00D1289C" w:rsidP="00203AF9">
      <w:pPr>
        <w:pStyle w:val="BodyText"/>
        <w:numPr>
          <w:ilvl w:val="0"/>
          <w:numId w:val="6"/>
        </w:numPr>
        <w:ind w:right="107"/>
        <w:jc w:val="both"/>
      </w:pPr>
      <w:r>
        <w:t xml:space="preserve">remuneration and expenses; </w:t>
      </w:r>
    </w:p>
    <w:p w14:paraId="7B863A6A" w14:textId="04FA9579" w:rsidR="0098380E" w:rsidRDefault="0042155B" w:rsidP="00203AF9">
      <w:pPr>
        <w:pStyle w:val="BodyText"/>
        <w:numPr>
          <w:ilvl w:val="0"/>
          <w:numId w:val="6"/>
        </w:numPr>
        <w:ind w:right="107"/>
        <w:jc w:val="both"/>
      </w:pPr>
      <w:r>
        <w:t xml:space="preserve">information and participation rights; </w:t>
      </w:r>
    </w:p>
    <w:p w14:paraId="3B766D81" w14:textId="2AEDBE13" w:rsidR="0042155B" w:rsidRDefault="0042155B" w:rsidP="00203AF9">
      <w:pPr>
        <w:pStyle w:val="BodyText"/>
        <w:numPr>
          <w:ilvl w:val="0"/>
          <w:numId w:val="6"/>
        </w:numPr>
        <w:ind w:right="107"/>
        <w:jc w:val="both"/>
      </w:pPr>
      <w:r>
        <w:t xml:space="preserve">confidentiality and privilege; </w:t>
      </w:r>
    </w:p>
    <w:p w14:paraId="7DA1B045" w14:textId="3B8C3203" w:rsidR="00C65755" w:rsidRDefault="00C65755" w:rsidP="00203AF9">
      <w:pPr>
        <w:pStyle w:val="BodyText"/>
        <w:numPr>
          <w:ilvl w:val="0"/>
          <w:numId w:val="6"/>
        </w:numPr>
        <w:ind w:right="107"/>
        <w:jc w:val="both"/>
      </w:pPr>
      <w:r>
        <w:t xml:space="preserve">intellectual property protection; </w:t>
      </w:r>
    </w:p>
    <w:p w14:paraId="636FC117" w14:textId="48B2D96F" w:rsidR="00AD2004" w:rsidRDefault="00C65755" w:rsidP="00AD2004">
      <w:pPr>
        <w:pStyle w:val="BodyText"/>
        <w:numPr>
          <w:ilvl w:val="0"/>
          <w:numId w:val="6"/>
        </w:numPr>
        <w:ind w:right="107"/>
        <w:jc w:val="both"/>
      </w:pPr>
      <w:r>
        <w:t xml:space="preserve">conflicts of interest; </w:t>
      </w:r>
    </w:p>
    <w:p w14:paraId="0471EC52" w14:textId="4A1FE088" w:rsidR="00C65755" w:rsidRDefault="00FB77AB" w:rsidP="00203AF9">
      <w:pPr>
        <w:pStyle w:val="BodyText"/>
        <w:numPr>
          <w:ilvl w:val="0"/>
          <w:numId w:val="6"/>
        </w:numPr>
        <w:ind w:right="107"/>
        <w:jc w:val="both"/>
      </w:pPr>
      <w:r>
        <w:t xml:space="preserve">indemnification; </w:t>
      </w:r>
      <w:r w:rsidR="00AD2004">
        <w:t>and</w:t>
      </w:r>
    </w:p>
    <w:p w14:paraId="44D2EBF3" w14:textId="7D104DC0" w:rsidR="00DF70C9" w:rsidRDefault="00FB77AB" w:rsidP="00AD2004">
      <w:pPr>
        <w:pStyle w:val="BodyText"/>
        <w:numPr>
          <w:ilvl w:val="0"/>
          <w:numId w:val="6"/>
        </w:numPr>
        <w:ind w:right="107"/>
        <w:jc w:val="both"/>
      </w:pPr>
      <w:r>
        <w:t>governing law and jurisdiction</w:t>
      </w:r>
      <w:r w:rsidR="00AD2004">
        <w:t xml:space="preserve">. </w:t>
      </w:r>
    </w:p>
    <w:p w14:paraId="416C1887" w14:textId="77777777" w:rsidR="00FC071A" w:rsidRDefault="00FC071A" w:rsidP="000A4609">
      <w:pPr>
        <w:pStyle w:val="BodyText"/>
        <w:ind w:left="179" w:right="107"/>
        <w:jc w:val="both"/>
      </w:pPr>
    </w:p>
    <w:p w14:paraId="745260E1" w14:textId="77777777" w:rsidR="00D121DA" w:rsidRDefault="00D121DA" w:rsidP="000A4609">
      <w:pPr>
        <w:pStyle w:val="BodyText"/>
        <w:ind w:left="179" w:right="107"/>
        <w:jc w:val="both"/>
      </w:pPr>
    </w:p>
    <w:p w14:paraId="2AFB3D3B" w14:textId="77777777" w:rsidR="00C93447" w:rsidRDefault="00C93447" w:rsidP="000A4609">
      <w:pPr>
        <w:pStyle w:val="BodyText"/>
        <w:ind w:left="179" w:right="107"/>
        <w:jc w:val="both"/>
      </w:pPr>
    </w:p>
    <w:p w14:paraId="3C907A5D" w14:textId="3DF2BA94" w:rsidR="00465531" w:rsidRPr="00F7384E" w:rsidRDefault="00C93447" w:rsidP="000900B8">
      <w:pPr>
        <w:pStyle w:val="BodyText"/>
        <w:ind w:left="179" w:right="107"/>
        <w:jc w:val="both"/>
      </w:pPr>
      <w:r>
        <w:t>Board observer arrangements can provide</w:t>
      </w:r>
      <w:r w:rsidR="001E4CD7">
        <w:t xml:space="preserve"> invaluable expertise and input to the company’s board and management. While such arrangements are mostly defined by contract, companies should ensure that the agreement governing such arrangements </w:t>
      </w:r>
      <w:r w:rsidR="00243DB0">
        <w:t xml:space="preserve">are drafted with precision and cover the key </w:t>
      </w:r>
      <w:r w:rsidR="004E31C5">
        <w:t xml:space="preserve">issues that are of importance to the company. </w:t>
      </w:r>
      <w:r w:rsidR="00D720CA" w:rsidRPr="00F7384E">
        <w:t xml:space="preserve">As </w:t>
      </w:r>
      <w:r w:rsidR="00FE45F1" w:rsidRPr="00F7384E">
        <w:t xml:space="preserve">board observer arrangements </w:t>
      </w:r>
      <w:r w:rsidR="00215250">
        <w:t>continue to be</w:t>
      </w:r>
      <w:r w:rsidR="00FE45F1" w:rsidRPr="00F7384E">
        <w:t xml:space="preserve"> sought by investors, </w:t>
      </w:r>
      <w:r w:rsidR="00992C79" w:rsidRPr="00F7384E">
        <w:t xml:space="preserve">we will continue to monitor the development of law in this area as they unfold. </w:t>
      </w:r>
    </w:p>
    <w:p w14:paraId="5C93720D" w14:textId="77777777" w:rsidR="0039677E" w:rsidRPr="00F7384E" w:rsidRDefault="0039677E" w:rsidP="000A4609">
      <w:pPr>
        <w:pStyle w:val="BodyText"/>
        <w:ind w:left="179" w:right="108"/>
        <w:jc w:val="both"/>
      </w:pPr>
    </w:p>
    <w:p w14:paraId="0EE33C73" w14:textId="4919FDB8" w:rsidR="00741C9C" w:rsidRPr="00F7384E" w:rsidRDefault="00571B2A" w:rsidP="000A4609">
      <w:pPr>
        <w:pStyle w:val="BodyText"/>
        <w:ind w:left="179" w:right="108"/>
        <w:jc w:val="both"/>
      </w:pPr>
      <w:r w:rsidRPr="00F7384E">
        <w:t>Please do not hesitate to contact us if you require any clarifications or have any q</w:t>
      </w:r>
      <w:r w:rsidR="009A75A4">
        <w:t xml:space="preserve">uestions about drafting your board observer agreement. </w:t>
      </w:r>
    </w:p>
    <w:p w14:paraId="0EE33C74" w14:textId="398203C7" w:rsidR="00741C9C" w:rsidRPr="00F7384E" w:rsidRDefault="003B0962" w:rsidP="000A4609">
      <w:pPr>
        <w:pStyle w:val="BodyText"/>
        <w:rPr>
          <w:sz w:val="26"/>
        </w:rPr>
      </w:pPr>
      <w:r w:rsidRPr="00F7384E">
        <w:rPr>
          <w:noProof/>
        </w:rPr>
        <w:drawing>
          <wp:anchor distT="0" distB="0" distL="0" distR="0" simplePos="0" relativeHeight="251656704" behindDoc="0" locked="0" layoutInCell="1" allowOverlap="1" wp14:anchorId="0EE33C95" wp14:editId="65D30F78">
            <wp:simplePos x="0" y="0"/>
            <wp:positionH relativeFrom="page">
              <wp:posOffset>763045</wp:posOffset>
            </wp:positionH>
            <wp:positionV relativeFrom="paragraph">
              <wp:posOffset>187760</wp:posOffset>
            </wp:positionV>
            <wp:extent cx="1480088" cy="173977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480088" cy="1739776"/>
                    </a:xfrm>
                    <a:prstGeom prst="rect">
                      <a:avLst/>
                    </a:prstGeom>
                  </pic:spPr>
                </pic:pic>
              </a:graphicData>
            </a:graphic>
            <wp14:sizeRelH relativeFrom="margin">
              <wp14:pctWidth>0</wp14:pctWidth>
            </wp14:sizeRelH>
            <wp14:sizeRelV relativeFrom="margin">
              <wp14:pctHeight>0</wp14:pctHeight>
            </wp14:sizeRelV>
          </wp:anchor>
        </w:drawing>
      </w:r>
    </w:p>
    <w:p w14:paraId="0EE33C75" w14:textId="6EDD43E1" w:rsidR="00741C9C" w:rsidRPr="00F7384E" w:rsidRDefault="00741C9C" w:rsidP="000A4609">
      <w:pPr>
        <w:pStyle w:val="BodyText"/>
        <w:rPr>
          <w:sz w:val="26"/>
        </w:rPr>
      </w:pPr>
    </w:p>
    <w:p w14:paraId="0EE33C76" w14:textId="499A7F86" w:rsidR="00741C9C" w:rsidRPr="00F7384E" w:rsidRDefault="00741C9C" w:rsidP="000A4609">
      <w:pPr>
        <w:pStyle w:val="BodyText"/>
        <w:spacing w:before="10"/>
        <w:rPr>
          <w:sz w:val="19"/>
        </w:rPr>
      </w:pPr>
    </w:p>
    <w:p w14:paraId="0EE33C77" w14:textId="77777777" w:rsidR="00741C9C" w:rsidRPr="00F7384E" w:rsidRDefault="00571B2A" w:rsidP="007A5D98">
      <w:pPr>
        <w:ind w:left="2785"/>
        <w:rPr>
          <w:b/>
          <w:sz w:val="24"/>
        </w:rPr>
      </w:pPr>
      <w:r w:rsidRPr="00F7384E">
        <w:rPr>
          <w:b/>
          <w:color w:val="F79646"/>
          <w:sz w:val="24"/>
        </w:rPr>
        <w:t>Azmul HAQUE</w:t>
      </w:r>
    </w:p>
    <w:p w14:paraId="0EE33C78" w14:textId="1C7A37F4" w:rsidR="00741C9C" w:rsidRPr="00F7384E" w:rsidRDefault="00571B2A" w:rsidP="007A5D98">
      <w:pPr>
        <w:spacing w:before="5"/>
        <w:ind w:left="2785"/>
        <w:rPr>
          <w:i/>
        </w:rPr>
      </w:pPr>
      <w:r w:rsidRPr="00F7384E">
        <w:rPr>
          <w:i/>
        </w:rPr>
        <w:t>Founding and Managing Director</w:t>
      </w:r>
    </w:p>
    <w:p w14:paraId="0EE33C79" w14:textId="77777777" w:rsidR="00741C9C" w:rsidRPr="00F7384E" w:rsidRDefault="00571B2A" w:rsidP="007A5D98">
      <w:pPr>
        <w:pStyle w:val="BodyText"/>
        <w:spacing w:before="9"/>
        <w:ind w:left="2785"/>
      </w:pPr>
      <w:r w:rsidRPr="00F7384E">
        <w:t>P: +65 6950 2875</w:t>
      </w:r>
    </w:p>
    <w:p w14:paraId="0EE33C7A" w14:textId="2857CC58" w:rsidR="00741C9C" w:rsidRPr="00F7384E" w:rsidRDefault="00571B2A" w:rsidP="007A5D98">
      <w:pPr>
        <w:pStyle w:val="BodyText"/>
        <w:spacing w:before="5"/>
        <w:ind w:left="2785"/>
      </w:pPr>
      <w:r w:rsidRPr="00F7384E">
        <w:t xml:space="preserve">E: </w:t>
      </w:r>
      <w:hyperlink r:id="rId11">
        <w:r w:rsidRPr="00F7384E">
          <w:t>azmul.haque@collyerlaw.com</w:t>
        </w:r>
      </w:hyperlink>
    </w:p>
    <w:p w14:paraId="0EE33C7B" w14:textId="750B931E" w:rsidR="00741C9C" w:rsidRPr="00F7384E" w:rsidRDefault="00741C9C" w:rsidP="007A5D98">
      <w:pPr>
        <w:pStyle w:val="BodyText"/>
        <w:ind w:left="2785"/>
        <w:rPr>
          <w:sz w:val="26"/>
        </w:rPr>
      </w:pPr>
    </w:p>
    <w:p w14:paraId="0EE33C7C" w14:textId="28631F6E" w:rsidR="00741C9C" w:rsidRPr="00F7384E" w:rsidRDefault="00741C9C" w:rsidP="007A5D98">
      <w:pPr>
        <w:pStyle w:val="BodyText"/>
        <w:ind w:left="2785"/>
        <w:rPr>
          <w:sz w:val="26"/>
        </w:rPr>
      </w:pPr>
    </w:p>
    <w:p w14:paraId="0EE33C7D" w14:textId="56C7810B" w:rsidR="00741C9C" w:rsidRPr="00F7384E" w:rsidRDefault="00741C9C" w:rsidP="007A5D98">
      <w:pPr>
        <w:pStyle w:val="BodyText"/>
        <w:ind w:left="2785"/>
        <w:rPr>
          <w:sz w:val="26"/>
        </w:rPr>
      </w:pPr>
    </w:p>
    <w:p w14:paraId="0EE33C7E" w14:textId="03926422" w:rsidR="00741C9C" w:rsidRPr="00F7384E" w:rsidRDefault="003B0962" w:rsidP="007A5D98">
      <w:pPr>
        <w:pStyle w:val="BodyText"/>
        <w:ind w:left="2785"/>
        <w:rPr>
          <w:sz w:val="26"/>
        </w:rPr>
      </w:pPr>
      <w:r w:rsidRPr="00F7384E">
        <w:rPr>
          <w:rFonts w:cs="Arial"/>
          <w:b/>
          <w:bCs/>
          <w:noProof/>
          <w:color w:val="000000"/>
          <w:lang w:val="en-SG" w:eastAsia="en-SG"/>
        </w:rPr>
        <w:drawing>
          <wp:anchor distT="0" distB="0" distL="114300" distR="114300" simplePos="0" relativeHeight="251658752" behindDoc="0" locked="0" layoutInCell="1" allowOverlap="1" wp14:anchorId="2809324E" wp14:editId="39A47B89">
            <wp:simplePos x="0" y="0"/>
            <wp:positionH relativeFrom="column">
              <wp:posOffset>88310</wp:posOffset>
            </wp:positionH>
            <wp:positionV relativeFrom="paragraph">
              <wp:posOffset>173783</wp:posOffset>
            </wp:positionV>
            <wp:extent cx="1468332" cy="1887856"/>
            <wp:effectExtent l="0" t="0" r="0" b="0"/>
            <wp:wrapNone/>
            <wp:docPr id="2" name="Picture 2"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L2877aa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0525" cy="1890676"/>
                    </a:xfrm>
                    <a:prstGeom prst="rect">
                      <a:avLst/>
                    </a:prstGeom>
                  </pic:spPr>
                </pic:pic>
              </a:graphicData>
            </a:graphic>
            <wp14:sizeRelH relativeFrom="page">
              <wp14:pctWidth>0</wp14:pctWidth>
            </wp14:sizeRelH>
            <wp14:sizeRelV relativeFrom="page">
              <wp14:pctHeight>0</wp14:pctHeight>
            </wp14:sizeRelV>
          </wp:anchor>
        </w:drawing>
      </w:r>
    </w:p>
    <w:p w14:paraId="0EE33C7F" w14:textId="0A2B7924" w:rsidR="00741C9C" w:rsidRPr="00F7384E" w:rsidRDefault="00741C9C" w:rsidP="007A5D98">
      <w:pPr>
        <w:pStyle w:val="BodyText"/>
        <w:spacing w:before="11"/>
        <w:ind w:left="2785"/>
        <w:rPr>
          <w:sz w:val="21"/>
        </w:rPr>
      </w:pPr>
    </w:p>
    <w:p w14:paraId="78A53C92" w14:textId="77777777" w:rsidR="00E523AD" w:rsidRPr="00F7384E" w:rsidRDefault="00E523AD" w:rsidP="007A5D98">
      <w:pPr>
        <w:ind w:left="2785" w:right="5080"/>
        <w:rPr>
          <w:b/>
          <w:color w:val="F79646"/>
          <w:sz w:val="24"/>
        </w:rPr>
      </w:pPr>
    </w:p>
    <w:p w14:paraId="3F854551" w14:textId="77777777" w:rsidR="00014CD5" w:rsidRPr="00F7384E" w:rsidRDefault="00360185" w:rsidP="007A5D98">
      <w:pPr>
        <w:keepNext/>
        <w:keepLines/>
        <w:ind w:left="2785" w:right="5080"/>
        <w:rPr>
          <w:i/>
          <w:color w:val="0D0D0D"/>
        </w:rPr>
      </w:pPr>
      <w:r w:rsidRPr="00F7384E">
        <w:rPr>
          <w:b/>
          <w:color w:val="F79646"/>
          <w:sz w:val="24"/>
        </w:rPr>
        <w:t xml:space="preserve">Joey Quek </w:t>
      </w:r>
      <w:r w:rsidR="00571B2A" w:rsidRPr="00F7384E">
        <w:rPr>
          <w:i/>
          <w:color w:val="0D0D0D"/>
        </w:rPr>
        <w:t>Associate</w:t>
      </w:r>
    </w:p>
    <w:p w14:paraId="0EE33C80" w14:textId="45509587" w:rsidR="00741C9C" w:rsidRPr="00F7384E" w:rsidRDefault="00571B2A" w:rsidP="007A5D98">
      <w:pPr>
        <w:keepNext/>
        <w:keepLines/>
        <w:ind w:left="2785" w:right="5080"/>
      </w:pPr>
      <w:r w:rsidRPr="00F7384E">
        <w:rPr>
          <w:i/>
          <w:color w:val="0D0D0D"/>
        </w:rPr>
        <w:t xml:space="preserve"> </w:t>
      </w:r>
      <w:r w:rsidR="00360185" w:rsidRPr="00F7384E">
        <w:t>+65 6950 2875</w:t>
      </w:r>
    </w:p>
    <w:p w14:paraId="0EE33C81" w14:textId="19153049" w:rsidR="00741C9C" w:rsidRPr="00F7384E" w:rsidRDefault="00571B2A" w:rsidP="007A5D98">
      <w:pPr>
        <w:pStyle w:val="BodyText"/>
        <w:keepNext/>
        <w:keepLines/>
        <w:spacing w:before="3"/>
        <w:ind w:left="2785"/>
      </w:pPr>
      <w:r w:rsidRPr="00F7384E">
        <w:t xml:space="preserve">E: </w:t>
      </w:r>
      <w:hyperlink r:id="rId13">
        <w:r w:rsidR="00360185" w:rsidRPr="00F7384E">
          <w:t>joey.quek@collyerlaw.com</w:t>
        </w:r>
      </w:hyperlink>
      <w:r w:rsidR="00360185" w:rsidRPr="00F7384E">
        <w:t xml:space="preserve"> </w:t>
      </w:r>
    </w:p>
    <w:p w14:paraId="5CEA1AE3" w14:textId="7F411AF0" w:rsidR="00360185" w:rsidRPr="00F7384E" w:rsidRDefault="00360185" w:rsidP="007A5D98">
      <w:pPr>
        <w:pStyle w:val="BodyText"/>
        <w:keepNext/>
        <w:keepLines/>
        <w:spacing w:before="3"/>
        <w:ind w:left="2785"/>
      </w:pPr>
    </w:p>
    <w:p w14:paraId="7FB37407" w14:textId="227720B6" w:rsidR="000C7221" w:rsidRPr="00F7384E" w:rsidRDefault="000C7221" w:rsidP="007A5D98">
      <w:pPr>
        <w:pStyle w:val="BodyText"/>
        <w:keepNext/>
        <w:keepLines/>
        <w:spacing w:before="3"/>
        <w:ind w:left="2785"/>
      </w:pPr>
    </w:p>
    <w:p w14:paraId="4F2EBCCF" w14:textId="4F0E311B" w:rsidR="000C7221" w:rsidRPr="00F7384E" w:rsidRDefault="000C7221" w:rsidP="000A4609">
      <w:pPr>
        <w:pStyle w:val="BodyText"/>
        <w:keepNext/>
        <w:keepLines/>
        <w:spacing w:before="3"/>
        <w:ind w:left="2727"/>
      </w:pPr>
    </w:p>
    <w:p w14:paraId="6E7EC5D4" w14:textId="10783ADF" w:rsidR="000C7221" w:rsidRPr="00F7384E" w:rsidRDefault="000C7221" w:rsidP="000A4609">
      <w:pPr>
        <w:pStyle w:val="BodyText"/>
        <w:keepNext/>
        <w:keepLines/>
        <w:spacing w:before="3"/>
        <w:ind w:left="2727"/>
      </w:pPr>
    </w:p>
    <w:p w14:paraId="0EE33C83" w14:textId="46C994EA" w:rsidR="00741C9C" w:rsidRPr="00F7384E" w:rsidRDefault="00741C9C" w:rsidP="000A4609">
      <w:pPr>
        <w:pStyle w:val="BodyText"/>
        <w:keepNext/>
        <w:keepLines/>
        <w:spacing w:before="6"/>
        <w:rPr>
          <w:sz w:val="24"/>
        </w:rPr>
      </w:pPr>
    </w:p>
    <w:p w14:paraId="3E62BE48" w14:textId="77777777" w:rsidR="003D7720" w:rsidRPr="00F7384E" w:rsidRDefault="003D7720" w:rsidP="000A4609">
      <w:pPr>
        <w:pStyle w:val="BodyText"/>
        <w:keepNext/>
        <w:keepLines/>
        <w:spacing w:before="6"/>
        <w:rPr>
          <w:sz w:val="24"/>
        </w:rPr>
      </w:pPr>
    </w:p>
    <w:p w14:paraId="0EE33C84" w14:textId="77777777" w:rsidR="00741C9C" w:rsidRPr="00F7384E" w:rsidRDefault="00990C56" w:rsidP="000A4609">
      <w:pPr>
        <w:pStyle w:val="BodyText"/>
        <w:keepNext/>
        <w:keepLines/>
        <w:ind w:left="180"/>
        <w:rPr>
          <w:sz w:val="3"/>
        </w:rPr>
      </w:pPr>
      <w:r>
        <w:rPr>
          <w:sz w:val="3"/>
        </w:rPr>
      </w:r>
      <w:r>
        <w:rPr>
          <w:sz w:val="3"/>
        </w:rPr>
        <w:pict w14:anchorId="0EE33C9A">
          <v:group id="_x0000_s1029" style="width:454.2pt;height:1.45pt;mso-position-horizontal-relative:char;mso-position-vertical-relative:line" coordsize="9084,29">
            <v:line id="_x0000_s1030" style="position:absolute" from="0,14" to="9084,14" strokeweight="1.44pt"/>
            <w10:anchorlock/>
          </v:group>
        </w:pict>
      </w:r>
    </w:p>
    <w:p w14:paraId="0EE33C85" w14:textId="77777777" w:rsidR="00741C9C" w:rsidRPr="00F7384E" w:rsidRDefault="00741C9C" w:rsidP="000A4609">
      <w:pPr>
        <w:keepNext/>
        <w:keepLines/>
        <w:rPr>
          <w:sz w:val="3"/>
        </w:rPr>
        <w:sectPr w:rsidR="00741C9C" w:rsidRPr="00F7384E">
          <w:headerReference w:type="default" r:id="rId14"/>
          <w:footerReference w:type="default" r:id="rId15"/>
          <w:pgSz w:w="11900" w:h="16840"/>
          <w:pgMar w:top="1460" w:right="1160" w:bottom="1100" w:left="1100" w:header="576" w:footer="918" w:gutter="0"/>
          <w:cols w:space="720"/>
        </w:sectPr>
      </w:pPr>
    </w:p>
    <w:p w14:paraId="0EE33C86" w14:textId="77777777" w:rsidR="00741C9C" w:rsidRPr="00F7384E" w:rsidRDefault="00571B2A" w:rsidP="000A4609">
      <w:pPr>
        <w:keepNext/>
        <w:keepLines/>
        <w:spacing w:before="59"/>
        <w:ind w:left="179"/>
        <w:rPr>
          <w:b/>
          <w:sz w:val="18"/>
        </w:rPr>
      </w:pPr>
      <w:r w:rsidRPr="00F7384E">
        <w:rPr>
          <w:b/>
          <w:sz w:val="18"/>
        </w:rPr>
        <w:t>COLLYER LAW LLC</w:t>
      </w:r>
    </w:p>
    <w:p w14:paraId="0EE33C87" w14:textId="77777777" w:rsidR="00741C9C" w:rsidRPr="00F7384E" w:rsidRDefault="00571B2A" w:rsidP="000A4609">
      <w:pPr>
        <w:keepNext/>
        <w:keepLines/>
        <w:spacing w:before="25"/>
        <w:ind w:left="179" w:right="22"/>
        <w:rPr>
          <w:sz w:val="18"/>
        </w:rPr>
      </w:pPr>
      <w:r w:rsidRPr="00F7384E">
        <w:rPr>
          <w:sz w:val="18"/>
        </w:rPr>
        <w:t>3 Fraser Street, DUO Tower, #05-24,</w:t>
      </w:r>
    </w:p>
    <w:p w14:paraId="0EE33C88" w14:textId="77777777" w:rsidR="00741C9C" w:rsidRPr="00F7384E" w:rsidRDefault="00571B2A" w:rsidP="000A4609">
      <w:pPr>
        <w:keepNext/>
        <w:keepLines/>
        <w:spacing w:before="5"/>
        <w:ind w:left="179"/>
        <w:rPr>
          <w:sz w:val="18"/>
        </w:rPr>
      </w:pPr>
      <w:r w:rsidRPr="00F7384E">
        <w:rPr>
          <w:sz w:val="18"/>
        </w:rPr>
        <w:t>Singapore 189352</w:t>
      </w:r>
    </w:p>
    <w:p w14:paraId="0EE33C89" w14:textId="77777777" w:rsidR="00741C9C" w:rsidRPr="00F7384E" w:rsidRDefault="00571B2A" w:rsidP="000A4609">
      <w:pPr>
        <w:keepNext/>
        <w:keepLines/>
        <w:spacing w:before="11"/>
        <w:ind w:left="179"/>
        <w:rPr>
          <w:sz w:val="18"/>
        </w:rPr>
      </w:pPr>
      <w:r w:rsidRPr="00F7384E">
        <w:br w:type="column"/>
      </w:r>
      <w:r w:rsidRPr="00F7384E">
        <w:rPr>
          <w:sz w:val="18"/>
        </w:rPr>
        <w:t>T: +65 6950</w:t>
      </w:r>
      <w:r w:rsidRPr="00F7384E">
        <w:rPr>
          <w:spacing w:val="-9"/>
          <w:sz w:val="18"/>
        </w:rPr>
        <w:t xml:space="preserve"> </w:t>
      </w:r>
      <w:r w:rsidRPr="00F7384E">
        <w:rPr>
          <w:sz w:val="18"/>
        </w:rPr>
        <w:t>2875</w:t>
      </w:r>
    </w:p>
    <w:p w14:paraId="0EE33C8A" w14:textId="77777777" w:rsidR="00741C9C" w:rsidRPr="00F7384E" w:rsidRDefault="00571B2A" w:rsidP="000A4609">
      <w:pPr>
        <w:keepNext/>
        <w:keepLines/>
        <w:spacing w:before="20"/>
        <w:ind w:left="179"/>
        <w:rPr>
          <w:sz w:val="18"/>
        </w:rPr>
      </w:pPr>
      <w:r w:rsidRPr="00F7384E">
        <w:rPr>
          <w:sz w:val="18"/>
        </w:rPr>
        <w:t>F: +65 6950</w:t>
      </w:r>
      <w:r w:rsidRPr="00F7384E">
        <w:rPr>
          <w:spacing w:val="-10"/>
          <w:sz w:val="18"/>
        </w:rPr>
        <w:t xml:space="preserve"> </w:t>
      </w:r>
      <w:r w:rsidRPr="00F7384E">
        <w:rPr>
          <w:sz w:val="18"/>
        </w:rPr>
        <w:t>2876</w:t>
      </w:r>
    </w:p>
    <w:p w14:paraId="0EE33C8B" w14:textId="77777777" w:rsidR="00741C9C" w:rsidRPr="00F7384E" w:rsidRDefault="00571B2A" w:rsidP="000A4609">
      <w:pPr>
        <w:keepNext/>
        <w:keepLines/>
        <w:spacing w:before="1"/>
        <w:ind w:left="179"/>
        <w:rPr>
          <w:sz w:val="18"/>
        </w:rPr>
      </w:pPr>
      <w:r w:rsidRPr="00F7384E">
        <w:rPr>
          <w:sz w:val="18"/>
        </w:rPr>
        <w:t xml:space="preserve">E: </w:t>
      </w:r>
      <w:hyperlink r:id="rId16">
        <w:r w:rsidRPr="00F7384E">
          <w:rPr>
            <w:color w:val="0000FF"/>
            <w:sz w:val="18"/>
            <w:u w:val="single" w:color="0000FF"/>
          </w:rPr>
          <w:t>updates@collyerlaw.com</w:t>
        </w:r>
      </w:hyperlink>
    </w:p>
    <w:p w14:paraId="0EE33C8C" w14:textId="77777777" w:rsidR="00741C9C" w:rsidRPr="00F7384E" w:rsidRDefault="00741C9C" w:rsidP="000A4609">
      <w:pPr>
        <w:keepNext/>
        <w:keepLines/>
        <w:rPr>
          <w:sz w:val="18"/>
        </w:rPr>
        <w:sectPr w:rsidR="00741C9C" w:rsidRPr="00F7384E">
          <w:type w:val="continuous"/>
          <w:pgSz w:w="11900" w:h="16840"/>
          <w:pgMar w:top="1460" w:right="1160" w:bottom="1100" w:left="1100" w:header="720" w:footer="720" w:gutter="0"/>
          <w:cols w:num="2" w:space="720" w:equalWidth="0">
            <w:col w:w="1725" w:space="2408"/>
            <w:col w:w="5507"/>
          </w:cols>
        </w:sectPr>
      </w:pPr>
    </w:p>
    <w:p w14:paraId="0EE33C8D" w14:textId="77777777" w:rsidR="00741C9C" w:rsidRPr="00F7384E" w:rsidRDefault="00741C9C" w:rsidP="000A4609">
      <w:pPr>
        <w:pStyle w:val="BodyText"/>
        <w:keepNext/>
        <w:keepLines/>
        <w:rPr>
          <w:sz w:val="20"/>
        </w:rPr>
      </w:pPr>
    </w:p>
    <w:p w14:paraId="0EE33C8E" w14:textId="77777777" w:rsidR="00741C9C" w:rsidRPr="00F7384E" w:rsidRDefault="00741C9C" w:rsidP="000A4609">
      <w:pPr>
        <w:pStyle w:val="BodyText"/>
        <w:keepNext/>
        <w:keepLines/>
        <w:spacing w:before="1"/>
        <w:rPr>
          <w:sz w:val="14"/>
        </w:rPr>
      </w:pPr>
    </w:p>
    <w:p w14:paraId="0EE33C8F" w14:textId="77777777" w:rsidR="00741C9C" w:rsidRPr="00F7384E" w:rsidRDefault="00990C56" w:rsidP="000A4609">
      <w:pPr>
        <w:pStyle w:val="BodyText"/>
        <w:keepNext/>
        <w:keepLines/>
        <w:ind w:left="180"/>
        <w:rPr>
          <w:sz w:val="3"/>
        </w:rPr>
      </w:pPr>
      <w:r>
        <w:rPr>
          <w:sz w:val="3"/>
        </w:rPr>
      </w:r>
      <w:r>
        <w:rPr>
          <w:sz w:val="3"/>
        </w:rPr>
        <w:pict w14:anchorId="0EE33C9C">
          <v:group id="_x0000_s1027" style="width:454.2pt;height:1.45pt;mso-position-horizontal-relative:char;mso-position-vertical-relative:line" coordsize="9084,29">
            <v:line id="_x0000_s1028" style="position:absolute" from="0,14" to="9084,14" strokeweight="1.44pt"/>
            <w10:anchorlock/>
          </v:group>
        </w:pict>
      </w:r>
    </w:p>
    <w:p w14:paraId="0EE33C90" w14:textId="77777777" w:rsidR="00741C9C" w:rsidRPr="00F7384E" w:rsidRDefault="00571B2A" w:rsidP="000A4609">
      <w:pPr>
        <w:keepNext/>
        <w:keepLines/>
        <w:spacing w:before="78"/>
        <w:ind w:left="179" w:right="265"/>
        <w:jc w:val="both"/>
        <w:rPr>
          <w:sz w:val="16"/>
        </w:rPr>
      </w:pPr>
      <w:r w:rsidRPr="00F7384E">
        <w:rPr>
          <w:sz w:val="16"/>
        </w:rPr>
        <w:t>Collyer Insights is a periodic information note, with analysis provided for information only and should not be relied on as legal advice. You should seek further advice prior to acting on the information contained in this note. While every care had been taken in producing this note, Collyer Law LLC will not be liable for any errors, inaccuracies, or misinterpretation of any of the matters set out in this note.</w:t>
      </w:r>
    </w:p>
    <w:p w14:paraId="0EE33C91" w14:textId="77777777" w:rsidR="00741C9C" w:rsidRDefault="00990C56" w:rsidP="000A4609">
      <w:pPr>
        <w:pStyle w:val="BodyText"/>
        <w:keepNext/>
        <w:keepLines/>
        <w:spacing w:before="11"/>
        <w:rPr>
          <w:sz w:val="8"/>
        </w:rPr>
      </w:pPr>
      <w:r>
        <w:pict w14:anchorId="0EE33C9D">
          <v:rect id="_x0000_s1026" style="position:absolute;margin-left:63.95pt;margin-top:7.4pt;width:2in;height:.7pt;z-index:-15725056;mso-wrap-distance-left:0;mso-wrap-distance-right:0;mso-position-horizontal-relative:page" fillcolor="black" stroked="f">
            <w10:wrap type="topAndBottom" anchorx="page"/>
          </v:rect>
        </w:pict>
      </w:r>
    </w:p>
    <w:sectPr w:rsidR="00741C9C">
      <w:type w:val="continuous"/>
      <w:pgSz w:w="11900" w:h="16840"/>
      <w:pgMar w:top="1460" w:right="1160" w:bottom="110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4810D" w14:textId="77777777" w:rsidR="00585BD0" w:rsidRDefault="00585BD0">
      <w:r>
        <w:separator/>
      </w:r>
    </w:p>
  </w:endnote>
  <w:endnote w:type="continuationSeparator" w:id="0">
    <w:p w14:paraId="6E9B1164" w14:textId="77777777" w:rsidR="00585BD0" w:rsidRDefault="0058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33C9F" w14:textId="13FD1FEF" w:rsidR="00741C9C" w:rsidRDefault="00990C56">
    <w:pPr>
      <w:pStyle w:val="BodyText"/>
      <w:spacing w:line="14" w:lineRule="auto"/>
      <w:rPr>
        <w:sz w:val="20"/>
      </w:rPr>
    </w:pPr>
    <w:r>
      <w:pict w14:anchorId="0EE33CA4">
        <v:shapetype id="_x0000_t202" coordsize="21600,21600" o:spt="202" path="m,l,21600r21600,l21600,xe">
          <v:stroke joinstyle="miter"/>
          <v:path gradientshapeok="t" o:connecttype="rect"/>
        </v:shapetype>
        <v:shape id="_x0000_s2049" type="#_x0000_t202" style="position:absolute;margin-left:63.7pt;margin-top:788.5pt;width:164.2pt;height:14.35pt;z-index:-15812096;mso-position-horizontal-relative:page;mso-position-vertical-relative:page" filled="f" stroked="f">
          <v:textbox style="mso-next-textbox:#_x0000_s2049" inset="0,0,0,0">
            <w:txbxContent>
              <w:p w14:paraId="0EE33CA6" w14:textId="2499E22B" w:rsidR="00741C9C" w:rsidRDefault="00571B2A">
                <w:pPr>
                  <w:spacing w:before="21"/>
                  <w:ind w:left="20"/>
                  <w:rPr>
                    <w:sz w:val="20"/>
                  </w:rPr>
                </w:pPr>
                <w:r w:rsidRPr="00F7384E">
                  <w:rPr>
                    <w:sz w:val="20"/>
                  </w:rPr>
                  <w:t xml:space="preserve">COLLYER INSIGHTS </w:t>
                </w:r>
                <w:r w:rsidR="007F3431">
                  <w:rPr>
                    <w:sz w:val="20"/>
                  </w:rPr>
                  <w:t>November</w:t>
                </w:r>
                <w:r w:rsidRPr="00F7384E">
                  <w:rPr>
                    <w:sz w:val="20"/>
                  </w:rPr>
                  <w:t xml:space="preserve"> 202</w:t>
                </w:r>
                <w:r w:rsidR="00990C56">
                  <w:rPr>
                    <w:sz w:val="20"/>
                  </w:rPr>
                  <w:t>1</w:t>
                </w:r>
              </w:p>
            </w:txbxContent>
          </v:textbox>
          <w10:wrap anchorx="page" anchory="page"/>
        </v:shape>
      </w:pict>
    </w:r>
    <w:r>
      <w:pict w14:anchorId="0EE33CA2">
        <v:line id="_x0000_s2051" style="position:absolute;z-index:-15813120;mso-position-horizontal-relative:page;mso-position-vertical-relative:page" from="70.55pt,782.35pt" to="524.75pt,782.35pt" strokecolor="#d9d9d9" strokeweight=".48pt">
          <w10:wrap anchorx="page" anchory="page"/>
        </v:line>
      </w:pict>
    </w:r>
    <w:r>
      <w:pict w14:anchorId="0EE33CA3">
        <v:shape id="_x0000_s2050" type="#_x0000_t202" style="position:absolute;margin-left:474.3pt;margin-top:781.5pt;width:47.7pt;height:14.35pt;z-index:-15812608;mso-position-horizontal-relative:page;mso-position-vertical-relative:page" filled="f" stroked="f">
          <v:textbox style="mso-next-textbox:#_x0000_s2050" inset="0,0,0,0">
            <w:txbxContent>
              <w:p w14:paraId="0EE33CA5" w14:textId="77777777" w:rsidR="00741C9C" w:rsidRDefault="00571B2A">
                <w:pPr>
                  <w:spacing w:before="21"/>
                  <w:ind w:left="60"/>
                  <w:rPr>
                    <w:sz w:val="20"/>
                  </w:rPr>
                </w:pPr>
                <w:r>
                  <w:fldChar w:fldCharType="begin"/>
                </w:r>
                <w:r>
                  <w:rPr>
                    <w:sz w:val="20"/>
                  </w:rPr>
                  <w:instrText xml:space="preserve"> PAGE </w:instrText>
                </w:r>
                <w:r>
                  <w:fldChar w:fldCharType="separate"/>
                </w:r>
                <w:r>
                  <w:t>1</w:t>
                </w:r>
                <w:r>
                  <w:fldChar w:fldCharType="end"/>
                </w:r>
                <w:r>
                  <w:rPr>
                    <w:sz w:val="20"/>
                  </w:rPr>
                  <w:t xml:space="preserve"> | </w:t>
                </w:r>
                <w:r>
                  <w:rPr>
                    <w:color w:val="7F7F7F"/>
                    <w:sz w:val="20"/>
                  </w:rPr>
                  <w:t>P a g 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4EC8C" w14:textId="77777777" w:rsidR="00585BD0" w:rsidRDefault="00585BD0">
      <w:r>
        <w:separator/>
      </w:r>
    </w:p>
  </w:footnote>
  <w:footnote w:type="continuationSeparator" w:id="0">
    <w:p w14:paraId="29093D20" w14:textId="77777777" w:rsidR="00585BD0" w:rsidRDefault="00585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33C9E" w14:textId="77777777" w:rsidR="00741C9C" w:rsidRDefault="00571B2A">
    <w:pPr>
      <w:pStyle w:val="BodyText"/>
      <w:spacing w:line="14" w:lineRule="auto"/>
      <w:rPr>
        <w:sz w:val="20"/>
      </w:rPr>
    </w:pPr>
    <w:r>
      <w:rPr>
        <w:noProof/>
      </w:rPr>
      <w:drawing>
        <wp:anchor distT="0" distB="0" distL="0" distR="0" simplePos="0" relativeHeight="251658752" behindDoc="1" locked="0" layoutInCell="1" allowOverlap="1" wp14:anchorId="0EE33CA0" wp14:editId="0EE33CA1">
          <wp:simplePos x="0" y="0"/>
          <wp:positionH relativeFrom="page">
            <wp:posOffset>4091938</wp:posOffset>
          </wp:positionH>
          <wp:positionV relativeFrom="page">
            <wp:posOffset>365761</wp:posOffset>
          </wp:positionV>
          <wp:extent cx="2627124" cy="5619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27124"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B18CC"/>
    <w:multiLevelType w:val="multilevel"/>
    <w:tmpl w:val="E592D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F0C03"/>
    <w:multiLevelType w:val="hybridMultilevel"/>
    <w:tmpl w:val="986CCE8E"/>
    <w:lvl w:ilvl="0" w:tplc="E586F5F4">
      <w:start w:val="1"/>
      <w:numFmt w:val="lowerLetter"/>
      <w:lvlText w:val="(%1)"/>
      <w:lvlJc w:val="left"/>
      <w:pPr>
        <w:ind w:left="539" w:hanging="360"/>
      </w:pPr>
      <w:rPr>
        <w:rFonts w:hint="default"/>
      </w:rPr>
    </w:lvl>
    <w:lvl w:ilvl="1" w:tplc="48090019" w:tentative="1">
      <w:start w:val="1"/>
      <w:numFmt w:val="lowerLetter"/>
      <w:lvlText w:val="%2."/>
      <w:lvlJc w:val="left"/>
      <w:pPr>
        <w:ind w:left="1259" w:hanging="360"/>
      </w:pPr>
    </w:lvl>
    <w:lvl w:ilvl="2" w:tplc="4809001B" w:tentative="1">
      <w:start w:val="1"/>
      <w:numFmt w:val="lowerRoman"/>
      <w:lvlText w:val="%3."/>
      <w:lvlJc w:val="right"/>
      <w:pPr>
        <w:ind w:left="1979" w:hanging="180"/>
      </w:pPr>
    </w:lvl>
    <w:lvl w:ilvl="3" w:tplc="4809000F" w:tentative="1">
      <w:start w:val="1"/>
      <w:numFmt w:val="decimal"/>
      <w:lvlText w:val="%4."/>
      <w:lvlJc w:val="left"/>
      <w:pPr>
        <w:ind w:left="2699" w:hanging="360"/>
      </w:pPr>
    </w:lvl>
    <w:lvl w:ilvl="4" w:tplc="48090019" w:tentative="1">
      <w:start w:val="1"/>
      <w:numFmt w:val="lowerLetter"/>
      <w:lvlText w:val="%5."/>
      <w:lvlJc w:val="left"/>
      <w:pPr>
        <w:ind w:left="3419" w:hanging="360"/>
      </w:pPr>
    </w:lvl>
    <w:lvl w:ilvl="5" w:tplc="4809001B" w:tentative="1">
      <w:start w:val="1"/>
      <w:numFmt w:val="lowerRoman"/>
      <w:lvlText w:val="%6."/>
      <w:lvlJc w:val="right"/>
      <w:pPr>
        <w:ind w:left="4139" w:hanging="180"/>
      </w:pPr>
    </w:lvl>
    <w:lvl w:ilvl="6" w:tplc="4809000F" w:tentative="1">
      <w:start w:val="1"/>
      <w:numFmt w:val="decimal"/>
      <w:lvlText w:val="%7."/>
      <w:lvlJc w:val="left"/>
      <w:pPr>
        <w:ind w:left="4859" w:hanging="360"/>
      </w:pPr>
    </w:lvl>
    <w:lvl w:ilvl="7" w:tplc="48090019" w:tentative="1">
      <w:start w:val="1"/>
      <w:numFmt w:val="lowerLetter"/>
      <w:lvlText w:val="%8."/>
      <w:lvlJc w:val="left"/>
      <w:pPr>
        <w:ind w:left="5579" w:hanging="360"/>
      </w:pPr>
    </w:lvl>
    <w:lvl w:ilvl="8" w:tplc="4809001B" w:tentative="1">
      <w:start w:val="1"/>
      <w:numFmt w:val="lowerRoman"/>
      <w:lvlText w:val="%9."/>
      <w:lvlJc w:val="right"/>
      <w:pPr>
        <w:ind w:left="6299" w:hanging="180"/>
      </w:pPr>
    </w:lvl>
  </w:abstractNum>
  <w:abstractNum w:abstractNumId="2" w15:restartNumberingAfterBreak="0">
    <w:nsid w:val="3E871219"/>
    <w:multiLevelType w:val="hybridMultilevel"/>
    <w:tmpl w:val="E03052BA"/>
    <w:lvl w:ilvl="0" w:tplc="3E581464">
      <w:start w:val="1"/>
      <w:numFmt w:val="lowerLetter"/>
      <w:lvlText w:val="%1)"/>
      <w:lvlJc w:val="left"/>
      <w:pPr>
        <w:ind w:left="605" w:hanging="360"/>
      </w:pPr>
      <w:rPr>
        <w:rFonts w:ascii="Calibri" w:eastAsia="Calibri" w:hAnsi="Calibri" w:cs="Calibri" w:hint="default"/>
        <w:spacing w:val="-1"/>
        <w:w w:val="100"/>
        <w:sz w:val="22"/>
        <w:szCs w:val="22"/>
      </w:rPr>
    </w:lvl>
    <w:lvl w:ilvl="1" w:tplc="A40A8AF0">
      <w:numFmt w:val="bullet"/>
      <w:lvlText w:val="•"/>
      <w:lvlJc w:val="left"/>
      <w:pPr>
        <w:ind w:left="1504" w:hanging="360"/>
      </w:pPr>
      <w:rPr>
        <w:rFonts w:hint="default"/>
      </w:rPr>
    </w:lvl>
    <w:lvl w:ilvl="2" w:tplc="9EB658B0">
      <w:numFmt w:val="bullet"/>
      <w:lvlText w:val="•"/>
      <w:lvlJc w:val="left"/>
      <w:pPr>
        <w:ind w:left="2408" w:hanging="360"/>
      </w:pPr>
      <w:rPr>
        <w:rFonts w:hint="default"/>
      </w:rPr>
    </w:lvl>
    <w:lvl w:ilvl="3" w:tplc="B2D0786A">
      <w:numFmt w:val="bullet"/>
      <w:lvlText w:val="•"/>
      <w:lvlJc w:val="left"/>
      <w:pPr>
        <w:ind w:left="3312" w:hanging="360"/>
      </w:pPr>
      <w:rPr>
        <w:rFonts w:hint="default"/>
      </w:rPr>
    </w:lvl>
    <w:lvl w:ilvl="4" w:tplc="E2F8C6EA">
      <w:numFmt w:val="bullet"/>
      <w:lvlText w:val="•"/>
      <w:lvlJc w:val="left"/>
      <w:pPr>
        <w:ind w:left="4216" w:hanging="360"/>
      </w:pPr>
      <w:rPr>
        <w:rFonts w:hint="default"/>
      </w:rPr>
    </w:lvl>
    <w:lvl w:ilvl="5" w:tplc="B178FE90">
      <w:numFmt w:val="bullet"/>
      <w:lvlText w:val="•"/>
      <w:lvlJc w:val="left"/>
      <w:pPr>
        <w:ind w:left="5120" w:hanging="360"/>
      </w:pPr>
      <w:rPr>
        <w:rFonts w:hint="default"/>
      </w:rPr>
    </w:lvl>
    <w:lvl w:ilvl="6" w:tplc="7770645C">
      <w:numFmt w:val="bullet"/>
      <w:lvlText w:val="•"/>
      <w:lvlJc w:val="left"/>
      <w:pPr>
        <w:ind w:left="6024" w:hanging="360"/>
      </w:pPr>
      <w:rPr>
        <w:rFonts w:hint="default"/>
      </w:rPr>
    </w:lvl>
    <w:lvl w:ilvl="7" w:tplc="89A02AB8">
      <w:numFmt w:val="bullet"/>
      <w:lvlText w:val="•"/>
      <w:lvlJc w:val="left"/>
      <w:pPr>
        <w:ind w:left="6928" w:hanging="360"/>
      </w:pPr>
      <w:rPr>
        <w:rFonts w:hint="default"/>
      </w:rPr>
    </w:lvl>
    <w:lvl w:ilvl="8" w:tplc="45C85E64">
      <w:numFmt w:val="bullet"/>
      <w:lvlText w:val="•"/>
      <w:lvlJc w:val="left"/>
      <w:pPr>
        <w:ind w:left="7832" w:hanging="360"/>
      </w:pPr>
      <w:rPr>
        <w:rFonts w:hint="default"/>
      </w:rPr>
    </w:lvl>
  </w:abstractNum>
  <w:abstractNum w:abstractNumId="3" w15:restartNumberingAfterBreak="0">
    <w:nsid w:val="54532AAB"/>
    <w:multiLevelType w:val="hybridMultilevel"/>
    <w:tmpl w:val="896C824A"/>
    <w:lvl w:ilvl="0" w:tplc="C4928826">
      <w:start w:val="1"/>
      <w:numFmt w:val="decimal"/>
      <w:lvlText w:val="%1."/>
      <w:lvlJc w:val="left"/>
      <w:pPr>
        <w:ind w:left="539" w:hanging="360"/>
      </w:pPr>
      <w:rPr>
        <w:rFonts w:hint="default"/>
      </w:rPr>
    </w:lvl>
    <w:lvl w:ilvl="1" w:tplc="48090019" w:tentative="1">
      <w:start w:val="1"/>
      <w:numFmt w:val="lowerLetter"/>
      <w:lvlText w:val="%2."/>
      <w:lvlJc w:val="left"/>
      <w:pPr>
        <w:ind w:left="1259" w:hanging="360"/>
      </w:pPr>
    </w:lvl>
    <w:lvl w:ilvl="2" w:tplc="4809001B" w:tentative="1">
      <w:start w:val="1"/>
      <w:numFmt w:val="lowerRoman"/>
      <w:lvlText w:val="%3."/>
      <w:lvlJc w:val="right"/>
      <w:pPr>
        <w:ind w:left="1979" w:hanging="180"/>
      </w:pPr>
    </w:lvl>
    <w:lvl w:ilvl="3" w:tplc="4809000F" w:tentative="1">
      <w:start w:val="1"/>
      <w:numFmt w:val="decimal"/>
      <w:lvlText w:val="%4."/>
      <w:lvlJc w:val="left"/>
      <w:pPr>
        <w:ind w:left="2699" w:hanging="360"/>
      </w:pPr>
    </w:lvl>
    <w:lvl w:ilvl="4" w:tplc="48090019" w:tentative="1">
      <w:start w:val="1"/>
      <w:numFmt w:val="lowerLetter"/>
      <w:lvlText w:val="%5."/>
      <w:lvlJc w:val="left"/>
      <w:pPr>
        <w:ind w:left="3419" w:hanging="360"/>
      </w:pPr>
    </w:lvl>
    <w:lvl w:ilvl="5" w:tplc="4809001B" w:tentative="1">
      <w:start w:val="1"/>
      <w:numFmt w:val="lowerRoman"/>
      <w:lvlText w:val="%6."/>
      <w:lvlJc w:val="right"/>
      <w:pPr>
        <w:ind w:left="4139" w:hanging="180"/>
      </w:pPr>
    </w:lvl>
    <w:lvl w:ilvl="6" w:tplc="4809000F" w:tentative="1">
      <w:start w:val="1"/>
      <w:numFmt w:val="decimal"/>
      <w:lvlText w:val="%7."/>
      <w:lvlJc w:val="left"/>
      <w:pPr>
        <w:ind w:left="4859" w:hanging="360"/>
      </w:pPr>
    </w:lvl>
    <w:lvl w:ilvl="7" w:tplc="48090019" w:tentative="1">
      <w:start w:val="1"/>
      <w:numFmt w:val="lowerLetter"/>
      <w:lvlText w:val="%8."/>
      <w:lvlJc w:val="left"/>
      <w:pPr>
        <w:ind w:left="5579" w:hanging="360"/>
      </w:pPr>
    </w:lvl>
    <w:lvl w:ilvl="8" w:tplc="4809001B" w:tentative="1">
      <w:start w:val="1"/>
      <w:numFmt w:val="lowerRoman"/>
      <w:lvlText w:val="%9."/>
      <w:lvlJc w:val="right"/>
      <w:pPr>
        <w:ind w:left="6299" w:hanging="180"/>
      </w:pPr>
    </w:lvl>
  </w:abstractNum>
  <w:abstractNum w:abstractNumId="4" w15:restartNumberingAfterBreak="0">
    <w:nsid w:val="559031EC"/>
    <w:multiLevelType w:val="hybridMultilevel"/>
    <w:tmpl w:val="CA48E2DA"/>
    <w:lvl w:ilvl="0" w:tplc="5D8AE84A">
      <w:start w:val="1"/>
      <w:numFmt w:val="lowerLetter"/>
      <w:lvlText w:val="%1)"/>
      <w:lvlJc w:val="left"/>
      <w:pPr>
        <w:ind w:left="888" w:hanging="709"/>
      </w:pPr>
      <w:rPr>
        <w:rFonts w:ascii="Calibri" w:eastAsia="Calibri" w:hAnsi="Calibri" w:cs="Calibri" w:hint="default"/>
        <w:spacing w:val="-1"/>
        <w:w w:val="100"/>
        <w:sz w:val="22"/>
        <w:szCs w:val="22"/>
      </w:rPr>
    </w:lvl>
    <w:lvl w:ilvl="1" w:tplc="1CA2E376">
      <w:numFmt w:val="bullet"/>
      <w:lvlText w:val="•"/>
      <w:lvlJc w:val="left"/>
      <w:pPr>
        <w:ind w:left="1756" w:hanging="709"/>
      </w:pPr>
      <w:rPr>
        <w:rFonts w:hint="default"/>
      </w:rPr>
    </w:lvl>
    <w:lvl w:ilvl="2" w:tplc="CC64C98C">
      <w:numFmt w:val="bullet"/>
      <w:lvlText w:val="•"/>
      <w:lvlJc w:val="left"/>
      <w:pPr>
        <w:ind w:left="2632" w:hanging="709"/>
      </w:pPr>
      <w:rPr>
        <w:rFonts w:hint="default"/>
      </w:rPr>
    </w:lvl>
    <w:lvl w:ilvl="3" w:tplc="7AB62312">
      <w:numFmt w:val="bullet"/>
      <w:lvlText w:val="•"/>
      <w:lvlJc w:val="left"/>
      <w:pPr>
        <w:ind w:left="3508" w:hanging="709"/>
      </w:pPr>
      <w:rPr>
        <w:rFonts w:hint="default"/>
      </w:rPr>
    </w:lvl>
    <w:lvl w:ilvl="4" w:tplc="CB620BC8">
      <w:numFmt w:val="bullet"/>
      <w:lvlText w:val="•"/>
      <w:lvlJc w:val="left"/>
      <w:pPr>
        <w:ind w:left="4384" w:hanging="709"/>
      </w:pPr>
      <w:rPr>
        <w:rFonts w:hint="default"/>
      </w:rPr>
    </w:lvl>
    <w:lvl w:ilvl="5" w:tplc="6CC2CAA4">
      <w:numFmt w:val="bullet"/>
      <w:lvlText w:val="•"/>
      <w:lvlJc w:val="left"/>
      <w:pPr>
        <w:ind w:left="5260" w:hanging="709"/>
      </w:pPr>
      <w:rPr>
        <w:rFonts w:hint="default"/>
      </w:rPr>
    </w:lvl>
    <w:lvl w:ilvl="6" w:tplc="B0D0A944">
      <w:numFmt w:val="bullet"/>
      <w:lvlText w:val="•"/>
      <w:lvlJc w:val="left"/>
      <w:pPr>
        <w:ind w:left="6136" w:hanging="709"/>
      </w:pPr>
      <w:rPr>
        <w:rFonts w:hint="default"/>
      </w:rPr>
    </w:lvl>
    <w:lvl w:ilvl="7" w:tplc="0B8EAA32">
      <w:numFmt w:val="bullet"/>
      <w:lvlText w:val="•"/>
      <w:lvlJc w:val="left"/>
      <w:pPr>
        <w:ind w:left="7012" w:hanging="709"/>
      </w:pPr>
      <w:rPr>
        <w:rFonts w:hint="default"/>
      </w:rPr>
    </w:lvl>
    <w:lvl w:ilvl="8" w:tplc="CA0E287E">
      <w:numFmt w:val="bullet"/>
      <w:lvlText w:val="•"/>
      <w:lvlJc w:val="left"/>
      <w:pPr>
        <w:ind w:left="7888" w:hanging="709"/>
      </w:pPr>
      <w:rPr>
        <w:rFonts w:hint="default"/>
      </w:rPr>
    </w:lvl>
  </w:abstractNum>
  <w:abstractNum w:abstractNumId="5" w15:restartNumberingAfterBreak="0">
    <w:nsid w:val="79AC000C"/>
    <w:multiLevelType w:val="multilevel"/>
    <w:tmpl w:val="DEC00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6243550">
    <w:abstractNumId w:val="2"/>
  </w:num>
  <w:num w:numId="2" w16cid:durableId="1490318154">
    <w:abstractNumId w:val="4"/>
  </w:num>
  <w:num w:numId="3" w16cid:durableId="729378789">
    <w:abstractNumId w:val="3"/>
  </w:num>
  <w:num w:numId="4" w16cid:durableId="776754190">
    <w:abstractNumId w:val="5"/>
  </w:num>
  <w:num w:numId="5" w16cid:durableId="1984192700">
    <w:abstractNumId w:val="0"/>
  </w:num>
  <w:num w:numId="6" w16cid:durableId="640623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41C9C"/>
    <w:rsid w:val="00002D43"/>
    <w:rsid w:val="000118EA"/>
    <w:rsid w:val="00011DC7"/>
    <w:rsid w:val="00014CD5"/>
    <w:rsid w:val="00031E9F"/>
    <w:rsid w:val="00034487"/>
    <w:rsid w:val="00037D1E"/>
    <w:rsid w:val="00041054"/>
    <w:rsid w:val="00053FF6"/>
    <w:rsid w:val="000628CE"/>
    <w:rsid w:val="00085546"/>
    <w:rsid w:val="00087930"/>
    <w:rsid w:val="000900B8"/>
    <w:rsid w:val="00093D73"/>
    <w:rsid w:val="00094A44"/>
    <w:rsid w:val="00097C4D"/>
    <w:rsid w:val="000A4609"/>
    <w:rsid w:val="000B4849"/>
    <w:rsid w:val="000C0909"/>
    <w:rsid w:val="000C2505"/>
    <w:rsid w:val="000C2562"/>
    <w:rsid w:val="000C7221"/>
    <w:rsid w:val="000D3A3B"/>
    <w:rsid w:val="000E63F9"/>
    <w:rsid w:val="000F6AFF"/>
    <w:rsid w:val="00103AB8"/>
    <w:rsid w:val="001049F2"/>
    <w:rsid w:val="001144C0"/>
    <w:rsid w:val="00115910"/>
    <w:rsid w:val="001200B1"/>
    <w:rsid w:val="001201A4"/>
    <w:rsid w:val="00120B54"/>
    <w:rsid w:val="00121D05"/>
    <w:rsid w:val="00125EEC"/>
    <w:rsid w:val="00132E81"/>
    <w:rsid w:val="00137437"/>
    <w:rsid w:val="00140342"/>
    <w:rsid w:val="00161627"/>
    <w:rsid w:val="00163E5E"/>
    <w:rsid w:val="00174C9C"/>
    <w:rsid w:val="00175EF1"/>
    <w:rsid w:val="00182061"/>
    <w:rsid w:val="00194B96"/>
    <w:rsid w:val="001954B6"/>
    <w:rsid w:val="001A2EE2"/>
    <w:rsid w:val="001A36CC"/>
    <w:rsid w:val="001A5FCC"/>
    <w:rsid w:val="001C5CD9"/>
    <w:rsid w:val="001E4CD7"/>
    <w:rsid w:val="00203AF9"/>
    <w:rsid w:val="00215250"/>
    <w:rsid w:val="00241C8D"/>
    <w:rsid w:val="00243578"/>
    <w:rsid w:val="00243DB0"/>
    <w:rsid w:val="00244470"/>
    <w:rsid w:val="0025034E"/>
    <w:rsid w:val="0025145A"/>
    <w:rsid w:val="00251E1F"/>
    <w:rsid w:val="00252264"/>
    <w:rsid w:val="0026222F"/>
    <w:rsid w:val="002725D2"/>
    <w:rsid w:val="002778FE"/>
    <w:rsid w:val="00284B8A"/>
    <w:rsid w:val="00290CD9"/>
    <w:rsid w:val="00293C16"/>
    <w:rsid w:val="00294A4C"/>
    <w:rsid w:val="002A53DE"/>
    <w:rsid w:val="002C6677"/>
    <w:rsid w:val="002D2A8C"/>
    <w:rsid w:val="002D33E2"/>
    <w:rsid w:val="002E000B"/>
    <w:rsid w:val="002E1C66"/>
    <w:rsid w:val="00306CB4"/>
    <w:rsid w:val="00314964"/>
    <w:rsid w:val="00316D46"/>
    <w:rsid w:val="003226CC"/>
    <w:rsid w:val="003227BC"/>
    <w:rsid w:val="00333407"/>
    <w:rsid w:val="003412FA"/>
    <w:rsid w:val="0034426E"/>
    <w:rsid w:val="00344436"/>
    <w:rsid w:val="00355670"/>
    <w:rsid w:val="00360185"/>
    <w:rsid w:val="00363FF0"/>
    <w:rsid w:val="003824BF"/>
    <w:rsid w:val="00385ADB"/>
    <w:rsid w:val="00386670"/>
    <w:rsid w:val="00391832"/>
    <w:rsid w:val="0039677E"/>
    <w:rsid w:val="003B0962"/>
    <w:rsid w:val="003B09D7"/>
    <w:rsid w:val="003B2920"/>
    <w:rsid w:val="003B496E"/>
    <w:rsid w:val="003B61B7"/>
    <w:rsid w:val="003B638E"/>
    <w:rsid w:val="003B6A04"/>
    <w:rsid w:val="003C343B"/>
    <w:rsid w:val="003C71EB"/>
    <w:rsid w:val="003C74AE"/>
    <w:rsid w:val="003D010C"/>
    <w:rsid w:val="003D2BCB"/>
    <w:rsid w:val="003D7720"/>
    <w:rsid w:val="003E63C9"/>
    <w:rsid w:val="003E69C0"/>
    <w:rsid w:val="003F2E93"/>
    <w:rsid w:val="00401F0F"/>
    <w:rsid w:val="0042155B"/>
    <w:rsid w:val="00435C65"/>
    <w:rsid w:val="00452747"/>
    <w:rsid w:val="0046407E"/>
    <w:rsid w:val="00465531"/>
    <w:rsid w:val="004720ED"/>
    <w:rsid w:val="004965FA"/>
    <w:rsid w:val="00496DFF"/>
    <w:rsid w:val="004A57CC"/>
    <w:rsid w:val="004B4F3A"/>
    <w:rsid w:val="004B52A8"/>
    <w:rsid w:val="004C045C"/>
    <w:rsid w:val="004C7DE4"/>
    <w:rsid w:val="004D07A9"/>
    <w:rsid w:val="004D5A44"/>
    <w:rsid w:val="004E00A2"/>
    <w:rsid w:val="004E0CDD"/>
    <w:rsid w:val="004E31C5"/>
    <w:rsid w:val="004F22B6"/>
    <w:rsid w:val="0051177E"/>
    <w:rsid w:val="00533C98"/>
    <w:rsid w:val="00540BB6"/>
    <w:rsid w:val="0054277D"/>
    <w:rsid w:val="00543AC0"/>
    <w:rsid w:val="005523BF"/>
    <w:rsid w:val="005615F1"/>
    <w:rsid w:val="005627E3"/>
    <w:rsid w:val="00564EB0"/>
    <w:rsid w:val="00567BF0"/>
    <w:rsid w:val="00571B2A"/>
    <w:rsid w:val="005770BE"/>
    <w:rsid w:val="00585BD0"/>
    <w:rsid w:val="00587119"/>
    <w:rsid w:val="00587E27"/>
    <w:rsid w:val="00595FDA"/>
    <w:rsid w:val="005A1AD0"/>
    <w:rsid w:val="005A4565"/>
    <w:rsid w:val="005B356B"/>
    <w:rsid w:val="005B4679"/>
    <w:rsid w:val="005D0166"/>
    <w:rsid w:val="005D1922"/>
    <w:rsid w:val="005E0F3E"/>
    <w:rsid w:val="005E2F6D"/>
    <w:rsid w:val="005E5FD1"/>
    <w:rsid w:val="005E7389"/>
    <w:rsid w:val="005F34AC"/>
    <w:rsid w:val="005F41C1"/>
    <w:rsid w:val="005F7B58"/>
    <w:rsid w:val="006104AB"/>
    <w:rsid w:val="00620DD6"/>
    <w:rsid w:val="00626E07"/>
    <w:rsid w:val="006277BE"/>
    <w:rsid w:val="00631114"/>
    <w:rsid w:val="006358FD"/>
    <w:rsid w:val="00646749"/>
    <w:rsid w:val="006720AA"/>
    <w:rsid w:val="00690D24"/>
    <w:rsid w:val="006A1F68"/>
    <w:rsid w:val="006A6F63"/>
    <w:rsid w:val="006B5147"/>
    <w:rsid w:val="006C0B01"/>
    <w:rsid w:val="006C41D3"/>
    <w:rsid w:val="006D474A"/>
    <w:rsid w:val="006E076D"/>
    <w:rsid w:val="006E59EE"/>
    <w:rsid w:val="00706C9F"/>
    <w:rsid w:val="007115A0"/>
    <w:rsid w:val="00712A3D"/>
    <w:rsid w:val="00720D6B"/>
    <w:rsid w:val="0072760A"/>
    <w:rsid w:val="00731577"/>
    <w:rsid w:val="007418CF"/>
    <w:rsid w:val="00741C9C"/>
    <w:rsid w:val="00743480"/>
    <w:rsid w:val="00744107"/>
    <w:rsid w:val="00745521"/>
    <w:rsid w:val="0074738C"/>
    <w:rsid w:val="00753BCA"/>
    <w:rsid w:val="007709E7"/>
    <w:rsid w:val="00771394"/>
    <w:rsid w:val="00773AFD"/>
    <w:rsid w:val="00780E99"/>
    <w:rsid w:val="00782FF5"/>
    <w:rsid w:val="00797894"/>
    <w:rsid w:val="007A5D98"/>
    <w:rsid w:val="007B01E8"/>
    <w:rsid w:val="007B6681"/>
    <w:rsid w:val="007C40F6"/>
    <w:rsid w:val="007C4121"/>
    <w:rsid w:val="007C6101"/>
    <w:rsid w:val="007D2141"/>
    <w:rsid w:val="007D3B72"/>
    <w:rsid w:val="007D5623"/>
    <w:rsid w:val="007D7FFA"/>
    <w:rsid w:val="007E63F7"/>
    <w:rsid w:val="007E7CCD"/>
    <w:rsid w:val="007F3431"/>
    <w:rsid w:val="008063C0"/>
    <w:rsid w:val="00806F8D"/>
    <w:rsid w:val="00807FFB"/>
    <w:rsid w:val="0081644E"/>
    <w:rsid w:val="008242D9"/>
    <w:rsid w:val="00824782"/>
    <w:rsid w:val="008300BD"/>
    <w:rsid w:val="00841EC7"/>
    <w:rsid w:val="00855624"/>
    <w:rsid w:val="0086167B"/>
    <w:rsid w:val="00863433"/>
    <w:rsid w:val="0086698D"/>
    <w:rsid w:val="00881844"/>
    <w:rsid w:val="008A3644"/>
    <w:rsid w:val="008A5CA4"/>
    <w:rsid w:val="008A7CF9"/>
    <w:rsid w:val="008B5297"/>
    <w:rsid w:val="008B5895"/>
    <w:rsid w:val="008C448F"/>
    <w:rsid w:val="008D4772"/>
    <w:rsid w:val="00906BDC"/>
    <w:rsid w:val="00907288"/>
    <w:rsid w:val="00912589"/>
    <w:rsid w:val="00921BF3"/>
    <w:rsid w:val="00926192"/>
    <w:rsid w:val="009407B4"/>
    <w:rsid w:val="00967025"/>
    <w:rsid w:val="00973446"/>
    <w:rsid w:val="0098380E"/>
    <w:rsid w:val="0098590C"/>
    <w:rsid w:val="00990C56"/>
    <w:rsid w:val="00992C79"/>
    <w:rsid w:val="0099738A"/>
    <w:rsid w:val="009A025B"/>
    <w:rsid w:val="009A4C83"/>
    <w:rsid w:val="009A75A4"/>
    <w:rsid w:val="009B0778"/>
    <w:rsid w:val="009B3357"/>
    <w:rsid w:val="009C024D"/>
    <w:rsid w:val="009E1E8F"/>
    <w:rsid w:val="009E2950"/>
    <w:rsid w:val="009F2C25"/>
    <w:rsid w:val="009F60C8"/>
    <w:rsid w:val="00A31FDC"/>
    <w:rsid w:val="00A32C9F"/>
    <w:rsid w:val="00A425A7"/>
    <w:rsid w:val="00A43A79"/>
    <w:rsid w:val="00A47A41"/>
    <w:rsid w:val="00A573CD"/>
    <w:rsid w:val="00A70D62"/>
    <w:rsid w:val="00A91D63"/>
    <w:rsid w:val="00AA1AE9"/>
    <w:rsid w:val="00AA5F39"/>
    <w:rsid w:val="00AA6AC1"/>
    <w:rsid w:val="00AB12F3"/>
    <w:rsid w:val="00AC0640"/>
    <w:rsid w:val="00AC35BB"/>
    <w:rsid w:val="00AC7A5C"/>
    <w:rsid w:val="00AD2004"/>
    <w:rsid w:val="00AE6747"/>
    <w:rsid w:val="00AF50CF"/>
    <w:rsid w:val="00B31B21"/>
    <w:rsid w:val="00B31DAF"/>
    <w:rsid w:val="00B3485F"/>
    <w:rsid w:val="00B541F0"/>
    <w:rsid w:val="00B5536E"/>
    <w:rsid w:val="00B5607B"/>
    <w:rsid w:val="00B60F40"/>
    <w:rsid w:val="00B660AE"/>
    <w:rsid w:val="00B92A9F"/>
    <w:rsid w:val="00B948BF"/>
    <w:rsid w:val="00B9793A"/>
    <w:rsid w:val="00BC121E"/>
    <w:rsid w:val="00BC3162"/>
    <w:rsid w:val="00BC6037"/>
    <w:rsid w:val="00BC67CE"/>
    <w:rsid w:val="00BE002E"/>
    <w:rsid w:val="00BE4ADC"/>
    <w:rsid w:val="00BE7F22"/>
    <w:rsid w:val="00BF40CC"/>
    <w:rsid w:val="00C12DA1"/>
    <w:rsid w:val="00C133FC"/>
    <w:rsid w:val="00C33081"/>
    <w:rsid w:val="00C343F4"/>
    <w:rsid w:val="00C358C2"/>
    <w:rsid w:val="00C3629A"/>
    <w:rsid w:val="00C55FA0"/>
    <w:rsid w:val="00C56B12"/>
    <w:rsid w:val="00C65755"/>
    <w:rsid w:val="00C71F1B"/>
    <w:rsid w:val="00C910B8"/>
    <w:rsid w:val="00C91B41"/>
    <w:rsid w:val="00C92442"/>
    <w:rsid w:val="00C93447"/>
    <w:rsid w:val="00CB6EB2"/>
    <w:rsid w:val="00CC1716"/>
    <w:rsid w:val="00CD112A"/>
    <w:rsid w:val="00CD2541"/>
    <w:rsid w:val="00CE36BD"/>
    <w:rsid w:val="00CF74ED"/>
    <w:rsid w:val="00D121DA"/>
    <w:rsid w:val="00D1289C"/>
    <w:rsid w:val="00D12B05"/>
    <w:rsid w:val="00D13DD6"/>
    <w:rsid w:val="00D262D4"/>
    <w:rsid w:val="00D325AA"/>
    <w:rsid w:val="00D46880"/>
    <w:rsid w:val="00D54AB7"/>
    <w:rsid w:val="00D6315F"/>
    <w:rsid w:val="00D67DC6"/>
    <w:rsid w:val="00D720CA"/>
    <w:rsid w:val="00D7408B"/>
    <w:rsid w:val="00D91930"/>
    <w:rsid w:val="00DB7CB9"/>
    <w:rsid w:val="00DC10A6"/>
    <w:rsid w:val="00DC6511"/>
    <w:rsid w:val="00DC6F51"/>
    <w:rsid w:val="00DC73AD"/>
    <w:rsid w:val="00DE0CF4"/>
    <w:rsid w:val="00DE6714"/>
    <w:rsid w:val="00DF4EEB"/>
    <w:rsid w:val="00DF70C9"/>
    <w:rsid w:val="00E15EDC"/>
    <w:rsid w:val="00E2023B"/>
    <w:rsid w:val="00E2136B"/>
    <w:rsid w:val="00E2375C"/>
    <w:rsid w:val="00E27C0C"/>
    <w:rsid w:val="00E3172B"/>
    <w:rsid w:val="00E3727F"/>
    <w:rsid w:val="00E37C0C"/>
    <w:rsid w:val="00E37F86"/>
    <w:rsid w:val="00E471EF"/>
    <w:rsid w:val="00E514B5"/>
    <w:rsid w:val="00E51562"/>
    <w:rsid w:val="00E523AD"/>
    <w:rsid w:val="00E55658"/>
    <w:rsid w:val="00E70655"/>
    <w:rsid w:val="00E73994"/>
    <w:rsid w:val="00E75782"/>
    <w:rsid w:val="00EA4CCD"/>
    <w:rsid w:val="00EB148C"/>
    <w:rsid w:val="00EB3F59"/>
    <w:rsid w:val="00EC08C5"/>
    <w:rsid w:val="00EC3D1C"/>
    <w:rsid w:val="00EC55E5"/>
    <w:rsid w:val="00EC7F07"/>
    <w:rsid w:val="00EE6365"/>
    <w:rsid w:val="00EF7FAD"/>
    <w:rsid w:val="00F00422"/>
    <w:rsid w:val="00F04CA8"/>
    <w:rsid w:val="00F110D4"/>
    <w:rsid w:val="00F37850"/>
    <w:rsid w:val="00F407D0"/>
    <w:rsid w:val="00F442B7"/>
    <w:rsid w:val="00F51B33"/>
    <w:rsid w:val="00F65CF0"/>
    <w:rsid w:val="00F7384E"/>
    <w:rsid w:val="00F862CE"/>
    <w:rsid w:val="00F92023"/>
    <w:rsid w:val="00FB6EB7"/>
    <w:rsid w:val="00FB77AB"/>
    <w:rsid w:val="00FC071A"/>
    <w:rsid w:val="00FC4D0C"/>
    <w:rsid w:val="00FD7531"/>
    <w:rsid w:val="00FD7C72"/>
    <w:rsid w:val="00FE45F1"/>
    <w:rsid w:val="00FF68E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EE33C2E"/>
  <w15:docId w15:val="{9B7E741F-B4F3-46B5-AE4C-1A4D476E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21"/>
      <w:ind w:left="17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69"/>
      <w:jc w:val="center"/>
    </w:pPr>
    <w:rPr>
      <w:b/>
      <w:bCs/>
      <w:sz w:val="28"/>
      <w:szCs w:val="28"/>
    </w:rPr>
  </w:style>
  <w:style w:type="paragraph" w:styleId="ListParagraph">
    <w:name w:val="List Paragraph"/>
    <w:basedOn w:val="Normal"/>
    <w:uiPriority w:val="1"/>
    <w:qFormat/>
    <w:pPr>
      <w:ind w:left="605" w:hanging="71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0DD6"/>
    <w:pPr>
      <w:tabs>
        <w:tab w:val="center" w:pos="4513"/>
        <w:tab w:val="right" w:pos="9026"/>
      </w:tabs>
    </w:pPr>
  </w:style>
  <w:style w:type="character" w:customStyle="1" w:styleId="HeaderChar">
    <w:name w:val="Header Char"/>
    <w:basedOn w:val="DefaultParagraphFont"/>
    <w:link w:val="Header"/>
    <w:uiPriority w:val="99"/>
    <w:rsid w:val="00620DD6"/>
    <w:rPr>
      <w:rFonts w:ascii="Calibri" w:eastAsia="Calibri" w:hAnsi="Calibri" w:cs="Calibri"/>
    </w:rPr>
  </w:style>
  <w:style w:type="paragraph" w:styleId="Footer">
    <w:name w:val="footer"/>
    <w:basedOn w:val="Normal"/>
    <w:link w:val="FooterChar"/>
    <w:uiPriority w:val="99"/>
    <w:unhideWhenUsed/>
    <w:rsid w:val="00620DD6"/>
    <w:pPr>
      <w:tabs>
        <w:tab w:val="center" w:pos="4513"/>
        <w:tab w:val="right" w:pos="9026"/>
      </w:tabs>
    </w:pPr>
  </w:style>
  <w:style w:type="character" w:customStyle="1" w:styleId="FooterChar">
    <w:name w:val="Footer Char"/>
    <w:basedOn w:val="DefaultParagraphFont"/>
    <w:link w:val="Footer"/>
    <w:uiPriority w:val="99"/>
    <w:rsid w:val="00620DD6"/>
    <w:rPr>
      <w:rFonts w:ascii="Calibri" w:eastAsia="Calibri" w:hAnsi="Calibri" w:cs="Calibri"/>
    </w:rPr>
  </w:style>
  <w:style w:type="character" w:styleId="Hyperlink">
    <w:name w:val="Hyperlink"/>
    <w:basedOn w:val="DefaultParagraphFont"/>
    <w:uiPriority w:val="99"/>
    <w:unhideWhenUsed/>
    <w:rsid w:val="00360185"/>
    <w:rPr>
      <w:color w:val="0000FF" w:themeColor="hyperlink"/>
      <w:u w:val="single"/>
    </w:rPr>
  </w:style>
  <w:style w:type="character" w:styleId="UnresolvedMention">
    <w:name w:val="Unresolved Mention"/>
    <w:basedOn w:val="DefaultParagraphFont"/>
    <w:uiPriority w:val="99"/>
    <w:semiHidden/>
    <w:unhideWhenUsed/>
    <w:rsid w:val="00360185"/>
    <w:rPr>
      <w:color w:val="605E5C"/>
      <w:shd w:val="clear" w:color="auto" w:fill="E1DFDD"/>
    </w:rPr>
  </w:style>
  <w:style w:type="character" w:styleId="Emphasis">
    <w:name w:val="Emphasis"/>
    <w:basedOn w:val="DefaultParagraphFont"/>
    <w:uiPriority w:val="20"/>
    <w:qFormat/>
    <w:rsid w:val="005E0F3E"/>
    <w:rPr>
      <w:i/>
      <w:iCs/>
    </w:rPr>
  </w:style>
  <w:style w:type="paragraph" w:styleId="NormalWeb">
    <w:name w:val="Normal (Web)"/>
    <w:basedOn w:val="Normal"/>
    <w:uiPriority w:val="99"/>
    <w:unhideWhenUsed/>
    <w:rsid w:val="006E59EE"/>
    <w:pPr>
      <w:widowControl/>
      <w:autoSpaceDE/>
      <w:autoSpaceDN/>
      <w:spacing w:before="100" w:beforeAutospacing="1" w:after="100" w:afterAutospacing="1"/>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49942">
      <w:bodyDiv w:val="1"/>
      <w:marLeft w:val="0"/>
      <w:marRight w:val="0"/>
      <w:marTop w:val="0"/>
      <w:marBottom w:val="0"/>
      <w:divBdr>
        <w:top w:val="none" w:sz="0" w:space="0" w:color="auto"/>
        <w:left w:val="none" w:sz="0" w:space="0" w:color="auto"/>
        <w:bottom w:val="none" w:sz="0" w:space="0" w:color="auto"/>
        <w:right w:val="none" w:sz="0" w:space="0" w:color="auto"/>
      </w:divBdr>
    </w:div>
    <w:div w:id="1439526249">
      <w:bodyDiv w:val="1"/>
      <w:marLeft w:val="0"/>
      <w:marRight w:val="0"/>
      <w:marTop w:val="0"/>
      <w:marBottom w:val="0"/>
      <w:divBdr>
        <w:top w:val="none" w:sz="0" w:space="0" w:color="auto"/>
        <w:left w:val="none" w:sz="0" w:space="0" w:color="auto"/>
        <w:bottom w:val="none" w:sz="0" w:space="0" w:color="auto"/>
        <w:right w:val="none" w:sz="0" w:space="0" w:color="auto"/>
      </w:divBdr>
    </w:div>
    <w:div w:id="1956935408">
      <w:bodyDiv w:val="1"/>
      <w:marLeft w:val="0"/>
      <w:marRight w:val="0"/>
      <w:marTop w:val="0"/>
      <w:marBottom w:val="0"/>
      <w:divBdr>
        <w:top w:val="none" w:sz="0" w:space="0" w:color="auto"/>
        <w:left w:val="none" w:sz="0" w:space="0" w:color="auto"/>
        <w:bottom w:val="none" w:sz="0" w:space="0" w:color="auto"/>
        <w:right w:val="none" w:sz="0" w:space="0" w:color="auto"/>
      </w:divBdr>
    </w:div>
    <w:div w:id="1965695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arv.malhotra@collyerlaw.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updates@collyerlaw.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zmul.haque@collyerlaw.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0EA833BD03AF48B72105329DA9707B" ma:contentTypeVersion="13" ma:contentTypeDescription="Create a new document." ma:contentTypeScope="" ma:versionID="54ae7ef319c24fe55b2d0308a000f31a">
  <xsd:schema xmlns:xsd="http://www.w3.org/2001/XMLSchema" xmlns:xs="http://www.w3.org/2001/XMLSchema" xmlns:p="http://schemas.microsoft.com/office/2006/metadata/properties" xmlns:ns3="fe0414a2-6d82-42b5-afd1-1a78c3d2a88c" xmlns:ns4="56ad14bb-3ab4-44f7-8929-3cc834cac295" targetNamespace="http://schemas.microsoft.com/office/2006/metadata/properties" ma:root="true" ma:fieldsID="388dc7794b2291eb6659ef6b69161cc4" ns3:_="" ns4:_="">
    <xsd:import namespace="fe0414a2-6d82-42b5-afd1-1a78c3d2a88c"/>
    <xsd:import namespace="56ad14bb-3ab4-44f7-8929-3cc834cac2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414a2-6d82-42b5-afd1-1a78c3d2a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ad14bb-3ab4-44f7-8929-3cc834cac29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400ED6-71D2-440A-8B05-B01E791444D1}">
  <ds:schemaRefs>
    <ds:schemaRef ds:uri="http://schemas.microsoft.com/sharepoint/v3/contenttype/forms"/>
  </ds:schemaRefs>
</ds:datastoreItem>
</file>

<file path=customXml/itemProps2.xml><?xml version="1.0" encoding="utf-8"?>
<ds:datastoreItem xmlns:ds="http://schemas.openxmlformats.org/officeDocument/2006/customXml" ds:itemID="{A1FC0016-8384-4507-9F10-85214FEB5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414a2-6d82-42b5-afd1-1a78c3d2a88c"/>
    <ds:schemaRef ds:uri="56ad14bb-3ab4-44f7-8929-3cc834cac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B026C-9118-4D2D-8CBB-F8E0CCB0FA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10179</TotalTime>
  <Pages>3</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[Collyer Insights] Business in the time of Corona (March 2020).docx</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[Collyer Insights] Business in the time of Corona (March 2020).docx</dc:title>
  <cp:lastModifiedBy>Paula Hinsley</cp:lastModifiedBy>
  <cp:revision>364</cp:revision>
  <dcterms:created xsi:type="dcterms:W3CDTF">2020-09-23T02:30:00Z</dcterms:created>
  <dcterms:modified xsi:type="dcterms:W3CDTF">2025-03-17T08:02:00Z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Word</vt:lpwstr>
  </property>
  <property fmtid="{D5CDD505-2E9C-101B-9397-08002B2CF9AE}" pid="4" name="LastSaved">
    <vt:filetime>2020-09-23T00:00:00Z</vt:filetime>
  </property>
  <property fmtid="{D5CDD505-2E9C-101B-9397-08002B2CF9AE}" pid="5" name="ContentTypeId">
    <vt:lpwstr>0x0101006D0EA833BD03AF48B72105329DA9707B</vt:lpwstr>
  </property>
</Properties>
</file>